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46C1" w14:textId="0D728F4C" w:rsidR="0045179C" w:rsidRPr="007F3B63" w:rsidRDefault="00793B3E" w:rsidP="007F3B63">
      <w:pPr>
        <w:spacing w:line="360" w:lineRule="auto"/>
        <w:jc w:val="center"/>
        <w:rPr>
          <w:rFonts w:ascii="Times New Roman" w:hAnsi="Times New Roman" w:cs="Times New Roman"/>
          <w:sz w:val="24"/>
          <w:szCs w:val="24"/>
        </w:rPr>
      </w:pPr>
      <w:r w:rsidRPr="007F3B63">
        <w:rPr>
          <w:rFonts w:ascii="Times New Roman" w:hAnsi="Times New Roman" w:cs="Times New Roman"/>
          <w:sz w:val="24"/>
          <w:szCs w:val="24"/>
          <w:shd w:val="clear" w:color="auto" w:fill="FFFFFF"/>
        </w:rPr>
        <w:t>Special Rights of Persons D</w:t>
      </w:r>
      <w:r w:rsidR="0045179C" w:rsidRPr="007F3B63">
        <w:rPr>
          <w:rFonts w:ascii="Times New Roman" w:hAnsi="Times New Roman" w:cs="Times New Roman"/>
          <w:sz w:val="24"/>
          <w:szCs w:val="24"/>
          <w:shd w:val="clear" w:color="auto" w:fill="FFFFFF"/>
        </w:rPr>
        <w:t>etained on Remand</w:t>
      </w:r>
    </w:p>
    <w:p w14:paraId="0C8340B2" w14:textId="7EEFFBD8" w:rsidR="00445EA5" w:rsidRPr="007F3B63" w:rsidRDefault="00D92309" w:rsidP="007F3B63">
      <w:pPr>
        <w:spacing w:line="360" w:lineRule="auto"/>
        <w:jc w:val="right"/>
        <w:rPr>
          <w:rFonts w:ascii="Times New Roman" w:hAnsi="Times New Roman" w:cs="Times New Roman"/>
          <w:b/>
          <w:bCs/>
          <w:sz w:val="28"/>
          <w:szCs w:val="28"/>
        </w:rPr>
      </w:pPr>
      <w:r w:rsidRPr="007F3B63">
        <w:rPr>
          <w:rFonts w:ascii="Times New Roman" w:hAnsi="Times New Roman" w:cs="Times New Roman"/>
          <w:b/>
          <w:bCs/>
          <w:sz w:val="28"/>
          <w:szCs w:val="28"/>
        </w:rPr>
        <w:t>Deepak Anjana</w:t>
      </w:r>
      <w:r w:rsidR="007F3B63" w:rsidRPr="007F3B63">
        <w:rPr>
          <w:rFonts w:ascii="Times New Roman" w:hAnsi="Times New Roman" w:cs="Times New Roman"/>
          <w:b/>
          <w:bCs/>
          <w:sz w:val="28"/>
          <w:szCs w:val="28"/>
        </w:rPr>
        <w:t xml:space="preserve"> </w:t>
      </w:r>
    </w:p>
    <w:p w14:paraId="579D983C" w14:textId="58D528E2" w:rsidR="007F3B63" w:rsidRPr="007F3B63" w:rsidRDefault="007F3B63" w:rsidP="007F3B63">
      <w:pPr>
        <w:spacing w:line="360" w:lineRule="auto"/>
        <w:jc w:val="right"/>
        <w:rPr>
          <w:rFonts w:ascii="Times New Roman" w:hAnsi="Times New Roman" w:cs="Times New Roman"/>
          <w:sz w:val="24"/>
          <w:szCs w:val="24"/>
        </w:rPr>
      </w:pPr>
      <w:r w:rsidRPr="007F3B63">
        <w:rPr>
          <w:rFonts w:ascii="Times New Roman" w:hAnsi="Times New Roman" w:cs="Times New Roman"/>
          <w:sz w:val="24"/>
          <w:szCs w:val="24"/>
        </w:rPr>
        <w:t>Asst. Prof. Indore Institute Of law</w:t>
      </w:r>
    </w:p>
    <w:p w14:paraId="729C4869" w14:textId="77777777" w:rsidR="007F3B63" w:rsidRPr="007F3B63" w:rsidRDefault="007F3B63" w:rsidP="007F3B63">
      <w:pPr>
        <w:spacing w:line="360" w:lineRule="auto"/>
        <w:rPr>
          <w:rFonts w:ascii="Times New Roman" w:hAnsi="Times New Roman" w:cs="Times New Roman"/>
          <w:sz w:val="24"/>
          <w:szCs w:val="24"/>
        </w:rPr>
      </w:pPr>
    </w:p>
    <w:p w14:paraId="22559354" w14:textId="77777777" w:rsidR="00445EA5" w:rsidRPr="007F3B63" w:rsidRDefault="00445EA5" w:rsidP="007F3B63">
      <w:pPr>
        <w:spacing w:line="360" w:lineRule="auto"/>
        <w:rPr>
          <w:rFonts w:ascii="Times New Roman" w:hAnsi="Times New Roman" w:cs="Times New Roman"/>
          <w:sz w:val="24"/>
          <w:szCs w:val="24"/>
        </w:rPr>
      </w:pPr>
    </w:p>
    <w:p w14:paraId="4801CCDD" w14:textId="5ADBF737" w:rsidR="0045179C" w:rsidRPr="007F3B63" w:rsidRDefault="007F3B63" w:rsidP="007F3B63">
      <w:pPr>
        <w:spacing w:line="360" w:lineRule="auto"/>
        <w:rPr>
          <w:rFonts w:ascii="Times New Roman" w:hAnsi="Times New Roman" w:cs="Times New Roman"/>
          <w:b/>
          <w:bCs/>
          <w:sz w:val="28"/>
          <w:szCs w:val="28"/>
          <w:u w:val="single"/>
        </w:rPr>
      </w:pPr>
      <w:r w:rsidRPr="007F3B63">
        <w:rPr>
          <w:rFonts w:ascii="Times New Roman" w:hAnsi="Times New Roman" w:cs="Times New Roman"/>
          <w:b/>
          <w:bCs/>
          <w:sz w:val="28"/>
          <w:szCs w:val="28"/>
          <w:u w:val="single"/>
        </w:rPr>
        <w:t xml:space="preserve">Introduction </w:t>
      </w:r>
    </w:p>
    <w:p w14:paraId="081D21D7"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From cradle to grave Human being carries within himself a bundle of rights by being virtue of human. Some of these rights are part of inalienable set of rights with are non-</w:t>
      </w:r>
      <w:proofErr w:type="spellStart"/>
      <w:r w:rsidRPr="007F3B63">
        <w:rPr>
          <w:rFonts w:ascii="Times New Roman" w:hAnsi="Times New Roman" w:cs="Times New Roman"/>
          <w:sz w:val="24"/>
          <w:szCs w:val="24"/>
        </w:rPr>
        <w:t>derogable</w:t>
      </w:r>
      <w:proofErr w:type="spellEnd"/>
      <w:r w:rsidRPr="007F3B63">
        <w:rPr>
          <w:rFonts w:ascii="Times New Roman" w:hAnsi="Times New Roman" w:cs="Times New Roman"/>
          <w:sz w:val="24"/>
          <w:szCs w:val="24"/>
        </w:rPr>
        <w:t xml:space="preserve"> except in extreme situations. Right to life and liberty are form part of this inalienable set of rights. Without guarantee of right of liberty and security the safeguard of other rights become susceptible and illusionary, yet we have plethora of examples at both national as well as international level where arrests and detention has been done without reasonable cause, without there being any effective legal remedy available. </w:t>
      </w:r>
      <w:r w:rsidR="00445EA5" w:rsidRPr="007F3B63">
        <w:rPr>
          <w:rFonts w:ascii="Times New Roman" w:hAnsi="Times New Roman" w:cs="Times New Roman"/>
          <w:sz w:val="24"/>
          <w:szCs w:val="24"/>
        </w:rPr>
        <w:t xml:space="preserve"> </w:t>
      </w:r>
    </w:p>
    <w:p w14:paraId="60A7E9A1"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There have been cases where arrests have been made and accused is kept on remand on flimsy grounds by the authorities, this further becomes a cause for another set of violation which is being perpetrated by the police authorities in the form of torture of the accused in the judicial or police custody. These set of violations in the police custody needs to be addressed and an effective remedy should be available to the victims, for this both the executive and the judiciary of the state machinery should adhere to the international and municipal laws. Further the state should try to formulate its municipal laws in consonance with the international standards. </w:t>
      </w:r>
    </w:p>
    <w:p w14:paraId="24BAABFE" w14:textId="77777777" w:rsidR="0045179C" w:rsidRPr="007F3B63" w:rsidRDefault="0045179C"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 xml:space="preserve">The dictionary meaning of “Remand” is to send back into custody. Here, we send back the accused into the custody of police or that of the magistrate for collecting evidence and completion of investigation. The purpose of remand is to facilitate completion of investigation. </w:t>
      </w:r>
      <w:r w:rsidRPr="007F3B63">
        <w:rPr>
          <w:rFonts w:ascii="Times New Roman" w:hAnsi="Times New Roman" w:cs="Times New Roman"/>
          <w:sz w:val="24"/>
          <w:szCs w:val="24"/>
          <w:lang w:bidi="hi-IN"/>
        </w:rPr>
        <w:lastRenderedPageBreak/>
        <w:t>In the entire Code of Criminal Procedure, 1973, the word remand is mentioned only in the Sections 209 and 309. The term has not been defined anywhere in the Criminal Procedure Code.</w:t>
      </w:r>
    </w:p>
    <w:p w14:paraId="2864F555"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As far as international and regional conventions are concerned Article 9(1) of the International Covenant on Civil and Political Rights</w:t>
      </w:r>
      <w:r w:rsidRPr="007F3B63">
        <w:rPr>
          <w:rStyle w:val="FootnoteReference"/>
          <w:rFonts w:ascii="Times New Roman" w:hAnsi="Times New Roman" w:cs="Times New Roman"/>
          <w:sz w:val="24"/>
          <w:szCs w:val="24"/>
        </w:rPr>
        <w:footnoteReference w:id="1"/>
      </w:r>
      <w:r w:rsidRPr="007F3B63">
        <w:rPr>
          <w:rFonts w:ascii="Times New Roman" w:hAnsi="Times New Roman" w:cs="Times New Roman"/>
          <w:sz w:val="24"/>
          <w:szCs w:val="24"/>
        </w:rPr>
        <w:t xml:space="preserve">, article 6 of the African Charter of Human and Peoples’ Rights, article 7(1) of the American Convention on Human Rights and article 5(1) of the European Convention on Human Rights guarantee a person’s right to “liberty” and “security”. Whereas Article 9 (3) of ICCPR specifically deals with the rights of arrested persons as well as persons on remand. </w:t>
      </w:r>
      <w:r w:rsidRPr="007F3B63">
        <w:rPr>
          <w:rStyle w:val="FootnoteReference"/>
          <w:rFonts w:ascii="Times New Roman" w:hAnsi="Times New Roman" w:cs="Times New Roman"/>
          <w:sz w:val="24"/>
          <w:szCs w:val="24"/>
        </w:rPr>
        <w:footnoteReference w:id="2"/>
      </w:r>
      <w:r w:rsidRPr="007F3B63">
        <w:rPr>
          <w:rFonts w:ascii="Times New Roman" w:hAnsi="Times New Roman" w:cs="Times New Roman"/>
          <w:sz w:val="24"/>
          <w:szCs w:val="24"/>
        </w:rPr>
        <w:t xml:space="preserve"> </w:t>
      </w:r>
    </w:p>
    <w:p w14:paraId="44249159"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Code of Criminal Procedure (CrPC) has provisions under section 57 and section 167 of IPC which deals with the custody of the accused once arrested. </w:t>
      </w:r>
      <w:r w:rsidRPr="007F3B63">
        <w:rPr>
          <w:rFonts w:ascii="Times New Roman" w:hAnsi="Times New Roman" w:cs="Times New Roman"/>
          <w:color w:val="000000"/>
          <w:sz w:val="24"/>
          <w:szCs w:val="24"/>
        </w:rPr>
        <w:t>Section 41 of the CrPC is subject to Section 57 and Section 76 of the CrPC which state that an arrested person cannot be detained in police custody for a period longer than 24 hours. He has to be produced before a magistrate within 24 hours of his arrest. Further if the police is unable to complete investigation within 24 hours and needs the accused to be detained in custody further, then it can be done only by a special order of the magistrate under Section 167 of CrPC.</w:t>
      </w:r>
    </w:p>
    <w:p w14:paraId="49E8EA82" w14:textId="77777777" w:rsidR="0045179C" w:rsidRPr="007F3B63" w:rsidRDefault="00C656F6" w:rsidP="007F3B63">
      <w:pPr>
        <w:spacing w:line="360" w:lineRule="auto"/>
        <w:rPr>
          <w:rFonts w:ascii="Times New Roman" w:hAnsi="Times New Roman" w:cs="Times New Roman"/>
          <w:b/>
          <w:bCs/>
          <w:sz w:val="28"/>
          <w:szCs w:val="28"/>
          <w:u w:val="single"/>
        </w:rPr>
      </w:pPr>
      <w:r w:rsidRPr="007F3B63">
        <w:rPr>
          <w:rFonts w:ascii="Times New Roman" w:hAnsi="Times New Roman" w:cs="Times New Roman"/>
          <w:b/>
          <w:bCs/>
          <w:sz w:val="28"/>
          <w:szCs w:val="28"/>
          <w:u w:val="single"/>
        </w:rPr>
        <w:t xml:space="preserve">1.1 Statement </w:t>
      </w:r>
      <w:proofErr w:type="gramStart"/>
      <w:r w:rsidRPr="007F3B63">
        <w:rPr>
          <w:rFonts w:ascii="Times New Roman" w:hAnsi="Times New Roman" w:cs="Times New Roman"/>
          <w:b/>
          <w:bCs/>
          <w:sz w:val="28"/>
          <w:szCs w:val="28"/>
          <w:u w:val="single"/>
        </w:rPr>
        <w:t>Of</w:t>
      </w:r>
      <w:proofErr w:type="gramEnd"/>
      <w:r w:rsidRPr="007F3B63">
        <w:rPr>
          <w:rFonts w:ascii="Times New Roman" w:hAnsi="Times New Roman" w:cs="Times New Roman"/>
          <w:b/>
          <w:bCs/>
          <w:sz w:val="28"/>
          <w:szCs w:val="28"/>
          <w:u w:val="single"/>
        </w:rPr>
        <w:t xml:space="preserve"> Problem</w:t>
      </w:r>
    </w:p>
    <w:p w14:paraId="07795BA4"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A magistrate while deciding on remand plea should apply his judicial mind in a reasonable manner based on grounds put before him by the police. The non-application of mind by the magistrate while deciding the remand plea may lead to the violation of right to liberty and security of the accused. The grant of remand period based on limited grounds which may or may not be sufficient is always questionable. </w:t>
      </w:r>
    </w:p>
    <w:p w14:paraId="55BD50F5" w14:textId="77777777" w:rsidR="0045179C" w:rsidRPr="007F3B63" w:rsidRDefault="0045179C" w:rsidP="007F3B63">
      <w:pPr>
        <w:spacing w:line="360" w:lineRule="auto"/>
        <w:rPr>
          <w:rFonts w:ascii="Times New Roman" w:hAnsi="Times New Roman" w:cs="Times New Roman"/>
          <w:b/>
          <w:bCs/>
          <w:sz w:val="28"/>
          <w:szCs w:val="28"/>
          <w:u w:val="single"/>
        </w:rPr>
      </w:pPr>
    </w:p>
    <w:p w14:paraId="5AD7B18D" w14:textId="77777777" w:rsidR="0045179C" w:rsidRPr="007F3B63" w:rsidRDefault="00C656F6" w:rsidP="007F3B63">
      <w:pPr>
        <w:spacing w:line="360" w:lineRule="auto"/>
        <w:rPr>
          <w:rFonts w:ascii="Times New Roman" w:hAnsi="Times New Roman" w:cs="Times New Roman"/>
          <w:b/>
          <w:bCs/>
          <w:sz w:val="28"/>
          <w:szCs w:val="28"/>
          <w:u w:val="single"/>
        </w:rPr>
      </w:pPr>
      <w:r w:rsidRPr="007F3B63">
        <w:rPr>
          <w:rFonts w:ascii="Times New Roman" w:hAnsi="Times New Roman" w:cs="Times New Roman"/>
          <w:b/>
          <w:bCs/>
          <w:sz w:val="28"/>
          <w:szCs w:val="28"/>
          <w:u w:val="single"/>
        </w:rPr>
        <w:t>1.2 Hypothesis</w:t>
      </w:r>
    </w:p>
    <w:p w14:paraId="1FC3534E"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Deciding on remand plea on the basis limited reasonable grounds on initial stage without much investigation may directly lead to violation of right to liberty of the accused.     </w:t>
      </w:r>
    </w:p>
    <w:p w14:paraId="235F8C16" w14:textId="77777777" w:rsidR="0045179C" w:rsidRPr="007F3B63" w:rsidRDefault="00C656F6"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1.3 </w:t>
      </w:r>
      <w:r w:rsidR="0045179C" w:rsidRPr="007F3B63">
        <w:rPr>
          <w:rFonts w:ascii="Times New Roman" w:hAnsi="Times New Roman" w:cs="Times New Roman"/>
          <w:sz w:val="24"/>
          <w:szCs w:val="24"/>
        </w:rPr>
        <w:t xml:space="preserve">Key research questions  </w:t>
      </w:r>
    </w:p>
    <w:p w14:paraId="238DFD0A"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To understand the various provisions under CrPC with regard to remand of the accused.</w:t>
      </w:r>
    </w:p>
    <w:p w14:paraId="19312255"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To understand effectiveness of municipal laws for protection of rights of person detained on remand. </w:t>
      </w:r>
    </w:p>
    <w:p w14:paraId="0CFEC51D"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To analyse the protection provider under Indian criminal justice system in comparison with ICCPR and other international covenants with regard to person detained on remand.</w:t>
      </w:r>
    </w:p>
    <w:p w14:paraId="24DC9FC9" w14:textId="77777777" w:rsidR="0045179C" w:rsidRPr="007F3B63" w:rsidRDefault="00C656F6"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1.4 </w:t>
      </w:r>
      <w:r w:rsidR="0045179C" w:rsidRPr="007F3B63">
        <w:rPr>
          <w:rFonts w:ascii="Times New Roman" w:hAnsi="Times New Roman" w:cs="Times New Roman"/>
          <w:sz w:val="24"/>
          <w:szCs w:val="24"/>
        </w:rPr>
        <w:t>Research objectives</w:t>
      </w:r>
    </w:p>
    <w:p w14:paraId="3EEAA8FA"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study includes the analysis of domestic laws and their implementation with regard to the right of accused in the custody. It also tends to make a comparison of between domestic laws and international provisions and how far the domestic laws are in consonance with the international provisions. </w:t>
      </w:r>
    </w:p>
    <w:p w14:paraId="4B61592F" w14:textId="77777777" w:rsidR="0045179C" w:rsidRPr="007F3B63" w:rsidRDefault="00C656F6" w:rsidP="007F3B63">
      <w:pPr>
        <w:spacing w:line="360" w:lineRule="auto"/>
        <w:rPr>
          <w:rFonts w:ascii="Times New Roman" w:hAnsi="Times New Roman" w:cs="Times New Roman"/>
          <w:b/>
          <w:bCs/>
          <w:sz w:val="24"/>
          <w:szCs w:val="24"/>
          <w:u w:val="single"/>
        </w:rPr>
      </w:pPr>
      <w:r w:rsidRPr="007F3B63">
        <w:rPr>
          <w:rFonts w:ascii="Times New Roman" w:hAnsi="Times New Roman" w:cs="Times New Roman"/>
          <w:b/>
          <w:bCs/>
          <w:sz w:val="28"/>
          <w:szCs w:val="28"/>
          <w:u w:val="single"/>
        </w:rPr>
        <w:t xml:space="preserve">1.5 </w:t>
      </w:r>
      <w:r w:rsidR="0045179C" w:rsidRPr="007F3B63">
        <w:rPr>
          <w:rFonts w:ascii="Times New Roman" w:hAnsi="Times New Roman" w:cs="Times New Roman"/>
          <w:b/>
          <w:bCs/>
          <w:sz w:val="28"/>
          <w:szCs w:val="28"/>
          <w:u w:val="single"/>
        </w:rPr>
        <w:t>Research methodology</w:t>
      </w:r>
      <w:r w:rsidR="000B78E5" w:rsidRPr="007F3B63">
        <w:rPr>
          <w:rFonts w:ascii="Times New Roman" w:hAnsi="Times New Roman" w:cs="Times New Roman"/>
          <w:b/>
          <w:bCs/>
          <w:sz w:val="24"/>
          <w:szCs w:val="24"/>
          <w:u w:val="single"/>
        </w:rPr>
        <w:t xml:space="preserve"> </w:t>
      </w:r>
    </w:p>
    <w:p w14:paraId="70A73C29"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method for research project includes the secondary data by referring the books, articles, journals, </w:t>
      </w:r>
      <w:proofErr w:type="spellStart"/>
      <w:r w:rsidRPr="007F3B63">
        <w:rPr>
          <w:rFonts w:ascii="Times New Roman" w:hAnsi="Times New Roman" w:cs="Times New Roman"/>
          <w:sz w:val="24"/>
          <w:szCs w:val="24"/>
        </w:rPr>
        <w:t>Manupatra</w:t>
      </w:r>
      <w:proofErr w:type="spellEnd"/>
      <w:r w:rsidRPr="007F3B63">
        <w:rPr>
          <w:rFonts w:ascii="Times New Roman" w:hAnsi="Times New Roman" w:cs="Times New Roman"/>
          <w:sz w:val="24"/>
          <w:szCs w:val="24"/>
        </w:rPr>
        <w:t>, Westlaw and other sources.</w:t>
      </w:r>
    </w:p>
    <w:p w14:paraId="5ABBD3CC" w14:textId="19130B2B" w:rsidR="0045179C" w:rsidRPr="007F3B63" w:rsidRDefault="00C656F6" w:rsidP="007F3B63">
      <w:pPr>
        <w:spacing w:line="360" w:lineRule="auto"/>
        <w:rPr>
          <w:rFonts w:ascii="Times New Roman" w:hAnsi="Times New Roman" w:cs="Times New Roman"/>
          <w:b/>
          <w:bCs/>
          <w:sz w:val="28"/>
          <w:szCs w:val="28"/>
          <w:u w:val="single"/>
        </w:rPr>
      </w:pPr>
      <w:r w:rsidRPr="007F3B63">
        <w:rPr>
          <w:rFonts w:ascii="Times New Roman" w:hAnsi="Times New Roman" w:cs="Times New Roman"/>
          <w:b/>
          <w:bCs/>
          <w:sz w:val="28"/>
          <w:szCs w:val="28"/>
          <w:u w:val="single"/>
        </w:rPr>
        <w:t xml:space="preserve">1.6 </w:t>
      </w:r>
      <w:r w:rsidR="0045179C" w:rsidRPr="007F3B63">
        <w:rPr>
          <w:rFonts w:ascii="Times New Roman" w:hAnsi="Times New Roman" w:cs="Times New Roman"/>
          <w:b/>
          <w:bCs/>
          <w:sz w:val="28"/>
          <w:szCs w:val="28"/>
          <w:u w:val="single"/>
        </w:rPr>
        <w:t xml:space="preserve">Tentative </w:t>
      </w:r>
      <w:proofErr w:type="spellStart"/>
      <w:r w:rsidR="0045179C" w:rsidRPr="007F3B63">
        <w:rPr>
          <w:rFonts w:ascii="Times New Roman" w:hAnsi="Times New Roman" w:cs="Times New Roman"/>
          <w:b/>
          <w:bCs/>
          <w:sz w:val="28"/>
          <w:szCs w:val="28"/>
          <w:u w:val="single"/>
        </w:rPr>
        <w:t>Chapteri</w:t>
      </w:r>
      <w:r w:rsidR="007F3B63">
        <w:rPr>
          <w:rFonts w:ascii="Times New Roman" w:hAnsi="Times New Roman" w:cs="Times New Roman"/>
          <w:b/>
          <w:bCs/>
          <w:sz w:val="28"/>
          <w:szCs w:val="28"/>
          <w:u w:val="single"/>
        </w:rPr>
        <w:t>z</w:t>
      </w:r>
      <w:r w:rsidR="0045179C" w:rsidRPr="007F3B63">
        <w:rPr>
          <w:rFonts w:ascii="Times New Roman" w:hAnsi="Times New Roman" w:cs="Times New Roman"/>
          <w:b/>
          <w:bCs/>
          <w:sz w:val="28"/>
          <w:szCs w:val="28"/>
          <w:u w:val="single"/>
        </w:rPr>
        <w:t>ation</w:t>
      </w:r>
      <w:proofErr w:type="spellEnd"/>
    </w:p>
    <w:p w14:paraId="72B93051"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Introduction</w:t>
      </w:r>
    </w:p>
    <w:p w14:paraId="457F9341"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Various rights of person on remand </w:t>
      </w:r>
    </w:p>
    <w:p w14:paraId="4A40F9F5"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lastRenderedPageBreak/>
        <w:t xml:space="preserve">International provisions </w:t>
      </w:r>
    </w:p>
    <w:p w14:paraId="39C20193" w14:textId="77777777" w:rsidR="0045179C"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Domestic provisions</w:t>
      </w:r>
    </w:p>
    <w:p w14:paraId="62C32883" w14:textId="77777777" w:rsidR="00A91ECA" w:rsidRPr="007F3B63"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'Relevant' and 'Sufficient' grounds for the continuation of the remand period </w:t>
      </w:r>
    </w:p>
    <w:p w14:paraId="73F607B2" w14:textId="77777777" w:rsidR="00A91ECA" w:rsidRPr="007F3B63" w:rsidRDefault="00A2373D"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Right to be protected against torture other cruel, inhuman and degrading treatment</w:t>
      </w:r>
    </w:p>
    <w:p w14:paraId="40923D43" w14:textId="77777777" w:rsidR="00A91ECA" w:rsidRPr="007F3B63" w:rsidRDefault="00A91ECA"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Limitation of time period </w:t>
      </w:r>
    </w:p>
    <w:p w14:paraId="59A9A73C" w14:textId="2B135B47" w:rsidR="00342777" w:rsidRDefault="0045179C"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Conclusion </w:t>
      </w:r>
      <w:r w:rsidR="00A2373D" w:rsidRPr="007F3B63">
        <w:rPr>
          <w:rFonts w:ascii="Times New Roman" w:hAnsi="Times New Roman" w:cs="Times New Roman"/>
          <w:sz w:val="24"/>
          <w:szCs w:val="24"/>
        </w:rPr>
        <w:t xml:space="preserve"> </w:t>
      </w:r>
    </w:p>
    <w:p w14:paraId="20A1843E" w14:textId="77777777" w:rsidR="007F3B63" w:rsidRPr="007F3B63" w:rsidRDefault="007F3B63" w:rsidP="007F3B63">
      <w:pPr>
        <w:spacing w:line="360" w:lineRule="auto"/>
        <w:rPr>
          <w:rFonts w:ascii="Times New Roman" w:hAnsi="Times New Roman" w:cs="Times New Roman"/>
          <w:sz w:val="24"/>
          <w:szCs w:val="24"/>
        </w:rPr>
      </w:pPr>
    </w:p>
    <w:p w14:paraId="5C818568" w14:textId="77777777" w:rsidR="00562532" w:rsidRPr="007F3B63" w:rsidRDefault="00562532" w:rsidP="007F3B63">
      <w:pPr>
        <w:spacing w:line="360" w:lineRule="auto"/>
        <w:rPr>
          <w:rFonts w:ascii="Times New Roman" w:hAnsi="Times New Roman" w:cs="Times New Roman"/>
          <w:b/>
          <w:sz w:val="28"/>
          <w:szCs w:val="28"/>
          <w:u w:val="single"/>
        </w:rPr>
      </w:pPr>
      <w:r w:rsidRPr="007F3B63">
        <w:rPr>
          <w:rFonts w:ascii="Times New Roman" w:hAnsi="Times New Roman" w:cs="Times New Roman"/>
          <w:b/>
          <w:sz w:val="28"/>
          <w:szCs w:val="28"/>
          <w:u w:val="single"/>
        </w:rPr>
        <w:t xml:space="preserve">International and Domestic provisions </w:t>
      </w:r>
    </w:p>
    <w:p w14:paraId="6FE7D419" w14:textId="77777777" w:rsidR="001C7A84" w:rsidRPr="007F3B63" w:rsidRDefault="006A4449" w:rsidP="007F3B63">
      <w:pPr>
        <w:spacing w:line="360" w:lineRule="auto"/>
        <w:rPr>
          <w:rFonts w:ascii="Times New Roman" w:hAnsi="Times New Roman" w:cs="Times New Roman"/>
          <w:b/>
          <w:bCs/>
          <w:sz w:val="24"/>
          <w:szCs w:val="24"/>
          <w:lang w:bidi="hi-IN"/>
        </w:rPr>
      </w:pPr>
      <w:r w:rsidRPr="007F3B63">
        <w:rPr>
          <w:rFonts w:ascii="Times New Roman" w:hAnsi="Times New Roman" w:cs="Times New Roman"/>
          <w:b/>
          <w:bCs/>
          <w:sz w:val="24"/>
          <w:szCs w:val="24"/>
          <w:lang w:bidi="hi-IN"/>
        </w:rPr>
        <w:t xml:space="preserve">Need for Protection of rights of Accused on Remand </w:t>
      </w:r>
    </w:p>
    <w:p w14:paraId="2BC0C3CF" w14:textId="77777777" w:rsidR="001C7A84" w:rsidRPr="007F3B63" w:rsidRDefault="001C7A84"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need for protection of various rights of person detained on remand arises because without any such protection the accused would be devoid of liberty which is </w:t>
      </w:r>
      <w:r w:rsidR="003F100B" w:rsidRPr="007F3B63">
        <w:rPr>
          <w:rFonts w:ascii="Times New Roman" w:hAnsi="Times New Roman" w:cs="Times New Roman"/>
          <w:sz w:val="24"/>
          <w:szCs w:val="24"/>
        </w:rPr>
        <w:t xml:space="preserve">again violation right to life with dignity as enshrined under UDHR and ICCPR to which India is a party. </w:t>
      </w:r>
      <w:r w:rsidR="007A01D1" w:rsidRPr="007F3B63">
        <w:rPr>
          <w:rFonts w:ascii="Times New Roman" w:hAnsi="Times New Roman" w:cs="Times New Roman"/>
          <w:sz w:val="24"/>
          <w:szCs w:val="24"/>
        </w:rPr>
        <w:t>The liberty of a person is one of the basic tenets of living life with dignity as a part of the society, without ‘liberty’ an individual’s life would not have much difference then that of an mere animal existence.</w:t>
      </w:r>
      <w:r w:rsidR="009413C6" w:rsidRPr="007F3B63">
        <w:rPr>
          <w:rFonts w:ascii="Times New Roman" w:hAnsi="Times New Roman" w:cs="Times New Roman"/>
          <w:sz w:val="24"/>
          <w:szCs w:val="24"/>
        </w:rPr>
        <w:t xml:space="preserve"> </w:t>
      </w:r>
      <w:r w:rsidR="007A01D1" w:rsidRPr="007F3B63">
        <w:rPr>
          <w:rFonts w:ascii="Times New Roman" w:hAnsi="Times New Roman" w:cs="Times New Roman"/>
          <w:sz w:val="24"/>
          <w:szCs w:val="24"/>
        </w:rPr>
        <w:t xml:space="preserve">It is the right of ‘liberty’ which is an essential pre-requisite of full utilization of freedom for an individual. Because of these reasons ‘liberty’ forms part of almost all major human rights legislations both at the national as well as international level. </w:t>
      </w:r>
      <w:r w:rsidR="003F100B" w:rsidRPr="007F3B63">
        <w:rPr>
          <w:rFonts w:ascii="Times New Roman" w:hAnsi="Times New Roman" w:cs="Times New Roman"/>
          <w:sz w:val="24"/>
          <w:szCs w:val="24"/>
        </w:rPr>
        <w:t xml:space="preserve">Thus it is very important to protect the dignity of the life of an accused which calls for use of provision of remand as a last resort available to the police authorities. </w:t>
      </w:r>
      <w:r w:rsidRPr="007F3B63">
        <w:rPr>
          <w:rFonts w:ascii="Times New Roman" w:hAnsi="Times New Roman" w:cs="Times New Roman"/>
          <w:sz w:val="24"/>
          <w:szCs w:val="24"/>
        </w:rPr>
        <w:t xml:space="preserve"> </w:t>
      </w:r>
    </w:p>
    <w:p w14:paraId="1D24B870" w14:textId="77777777" w:rsidR="0045179C" w:rsidRPr="007F3B63" w:rsidRDefault="0045179C"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rPr>
        <w:t xml:space="preserve"> </w:t>
      </w:r>
    </w:p>
    <w:p w14:paraId="24C46B2B" w14:textId="77777777" w:rsidR="00CF049A" w:rsidRPr="007F3B63" w:rsidRDefault="007439EB" w:rsidP="007F3B63">
      <w:pPr>
        <w:spacing w:line="360" w:lineRule="auto"/>
        <w:rPr>
          <w:rFonts w:ascii="Times New Roman" w:hAnsi="Times New Roman" w:cs="Times New Roman"/>
          <w:b/>
          <w:bCs/>
          <w:sz w:val="24"/>
          <w:szCs w:val="24"/>
        </w:rPr>
      </w:pPr>
      <w:r w:rsidRPr="007F3B63">
        <w:rPr>
          <w:rFonts w:ascii="Times New Roman" w:hAnsi="Times New Roman" w:cs="Times New Roman"/>
          <w:b/>
          <w:bCs/>
          <w:sz w:val="24"/>
          <w:szCs w:val="24"/>
        </w:rPr>
        <w:t xml:space="preserve">International Provisions </w:t>
      </w:r>
    </w:p>
    <w:p w14:paraId="1E50193B" w14:textId="77777777" w:rsidR="0077052A" w:rsidRPr="007F3B63" w:rsidRDefault="0077052A" w:rsidP="007F3B63">
      <w:pPr>
        <w:spacing w:line="360" w:lineRule="auto"/>
        <w:rPr>
          <w:rFonts w:ascii="Times New Roman" w:hAnsi="Times New Roman" w:cs="Times New Roman"/>
          <w:bCs/>
          <w:iCs/>
          <w:sz w:val="24"/>
          <w:szCs w:val="24"/>
        </w:rPr>
      </w:pPr>
      <w:r w:rsidRPr="007F3B63">
        <w:rPr>
          <w:rFonts w:ascii="Times New Roman" w:hAnsi="Times New Roman" w:cs="Times New Roman"/>
          <w:sz w:val="24"/>
          <w:szCs w:val="24"/>
        </w:rPr>
        <w:lastRenderedPageBreak/>
        <w:t>Article 9(1) of the International Covenant on Civil and Political Rights</w:t>
      </w:r>
      <w:r w:rsidR="003F5513" w:rsidRPr="007F3B63">
        <w:rPr>
          <w:rFonts w:ascii="Times New Roman" w:hAnsi="Times New Roman" w:cs="Times New Roman"/>
          <w:sz w:val="24"/>
          <w:szCs w:val="24"/>
        </w:rPr>
        <w:t xml:space="preserve"> (ICCPR)1976,</w:t>
      </w:r>
      <w:r w:rsidRPr="007F3B63">
        <w:rPr>
          <w:rFonts w:ascii="Times New Roman" w:hAnsi="Times New Roman" w:cs="Times New Roman"/>
          <w:sz w:val="24"/>
          <w:szCs w:val="24"/>
        </w:rPr>
        <w:t xml:space="preserve"> article 6 of the African Charter of Human and Peoples’ Rights, article 7(1) of the American Convention on Human Rights and article 5(1) of the European Convention on Human Rights guarantee a person’s right to “liberty” and “security”. Moreover, as stated by the International Court of Justice in its </w:t>
      </w:r>
      <w:r w:rsidRPr="007F3B63">
        <w:rPr>
          <w:rFonts w:ascii="Times New Roman" w:hAnsi="Times New Roman" w:cs="Times New Roman"/>
          <w:i/>
          <w:iCs/>
          <w:sz w:val="24"/>
          <w:szCs w:val="24"/>
        </w:rPr>
        <w:t xml:space="preserve">dictum </w:t>
      </w:r>
      <w:r w:rsidRPr="007F3B63">
        <w:rPr>
          <w:rFonts w:ascii="Times New Roman" w:hAnsi="Times New Roman" w:cs="Times New Roman"/>
          <w:sz w:val="24"/>
          <w:szCs w:val="24"/>
        </w:rPr>
        <w:t xml:space="preserve">in the </w:t>
      </w:r>
      <w:r w:rsidRPr="007F3B63">
        <w:rPr>
          <w:rFonts w:ascii="Times New Roman" w:hAnsi="Times New Roman" w:cs="Times New Roman"/>
          <w:i/>
          <w:iCs/>
          <w:sz w:val="24"/>
          <w:szCs w:val="24"/>
        </w:rPr>
        <w:t xml:space="preserve">Hostages in Tehran </w:t>
      </w:r>
      <w:r w:rsidRPr="007F3B63">
        <w:rPr>
          <w:rFonts w:ascii="Times New Roman" w:hAnsi="Times New Roman" w:cs="Times New Roman"/>
          <w:sz w:val="24"/>
          <w:szCs w:val="24"/>
        </w:rPr>
        <w:t>case, “wrongfully to deprive human beings of their freedom and to subject them to physical constraint in conditions of hardship is in itself incompatible with the principles of the Charter of the United Nations, as well as with the fundamental principles enunciated in the Universal Declaration of Human Rights”, article 3 of which guarantees “the right to life, l</w:t>
      </w:r>
      <w:r w:rsidR="0024109A" w:rsidRPr="007F3B63">
        <w:rPr>
          <w:rFonts w:ascii="Times New Roman" w:hAnsi="Times New Roman" w:cs="Times New Roman"/>
          <w:sz w:val="24"/>
          <w:szCs w:val="24"/>
        </w:rPr>
        <w:t xml:space="preserve">iberty and security of person”. </w:t>
      </w:r>
      <w:r w:rsidRPr="007F3B63">
        <w:rPr>
          <w:rFonts w:ascii="Times New Roman" w:hAnsi="Times New Roman" w:cs="Times New Roman"/>
          <w:bCs/>
          <w:iCs/>
          <w:sz w:val="24"/>
          <w:szCs w:val="24"/>
        </w:rPr>
        <w:t>It follows that, notwithstanding that a State may not</w:t>
      </w:r>
      <w:r w:rsidRPr="007F3B63">
        <w:rPr>
          <w:rFonts w:ascii="Times New Roman" w:hAnsi="Times New Roman" w:cs="Times New Roman"/>
          <w:sz w:val="24"/>
          <w:szCs w:val="24"/>
        </w:rPr>
        <w:t xml:space="preserve"> </w:t>
      </w:r>
      <w:r w:rsidRPr="007F3B63">
        <w:rPr>
          <w:rFonts w:ascii="Times New Roman" w:hAnsi="Times New Roman" w:cs="Times New Roman"/>
          <w:bCs/>
          <w:iCs/>
          <w:sz w:val="24"/>
          <w:szCs w:val="24"/>
        </w:rPr>
        <w:t>have ratified or otherwise adhered to any of the preceding human rights treaties,</w:t>
      </w:r>
      <w:r w:rsidRPr="007F3B63">
        <w:rPr>
          <w:rFonts w:ascii="Times New Roman" w:hAnsi="Times New Roman" w:cs="Times New Roman"/>
          <w:sz w:val="24"/>
          <w:szCs w:val="24"/>
        </w:rPr>
        <w:t xml:space="preserve"> </w:t>
      </w:r>
      <w:r w:rsidRPr="007F3B63">
        <w:rPr>
          <w:rFonts w:ascii="Times New Roman" w:hAnsi="Times New Roman" w:cs="Times New Roman"/>
          <w:bCs/>
          <w:iCs/>
          <w:sz w:val="24"/>
          <w:szCs w:val="24"/>
        </w:rPr>
        <w:t>it is nonetheless bound by other legal sources to ensure a person’s right to respect</w:t>
      </w:r>
      <w:r w:rsidRPr="007F3B63">
        <w:rPr>
          <w:rFonts w:ascii="Times New Roman" w:hAnsi="Times New Roman" w:cs="Times New Roman"/>
          <w:sz w:val="24"/>
          <w:szCs w:val="24"/>
        </w:rPr>
        <w:t xml:space="preserve"> </w:t>
      </w:r>
      <w:r w:rsidRPr="007F3B63">
        <w:rPr>
          <w:rFonts w:ascii="Times New Roman" w:hAnsi="Times New Roman" w:cs="Times New Roman"/>
          <w:bCs/>
          <w:iCs/>
          <w:sz w:val="24"/>
          <w:szCs w:val="24"/>
        </w:rPr>
        <w:t xml:space="preserve">for his or her liberty and security. </w:t>
      </w:r>
    </w:p>
    <w:p w14:paraId="01E4A04A" w14:textId="77777777" w:rsidR="006A4449" w:rsidRPr="007F3B63" w:rsidRDefault="00153B9B"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Though ‘liberty’ is a basic human right, like every other right it is also not absolute. State can put restrictions on the exercise of this right provided the restrictions are not unreasonable and arbitrary. Article 9</w:t>
      </w:r>
      <w:r w:rsidR="00993BD1" w:rsidRPr="007F3B63">
        <w:rPr>
          <w:rFonts w:ascii="Times New Roman" w:hAnsi="Times New Roman" w:cs="Times New Roman"/>
          <w:sz w:val="24"/>
          <w:szCs w:val="24"/>
        </w:rPr>
        <w:t>(1)</w:t>
      </w:r>
      <w:r w:rsidRPr="007F3B63">
        <w:rPr>
          <w:rStyle w:val="FootnoteReference"/>
          <w:rFonts w:ascii="Times New Roman" w:hAnsi="Times New Roman" w:cs="Times New Roman"/>
          <w:sz w:val="24"/>
          <w:szCs w:val="24"/>
        </w:rPr>
        <w:footnoteReference w:id="3"/>
      </w:r>
      <w:r w:rsidRPr="007F3B63">
        <w:rPr>
          <w:rFonts w:ascii="Times New Roman" w:hAnsi="Times New Roman" w:cs="Times New Roman"/>
          <w:sz w:val="24"/>
          <w:szCs w:val="24"/>
        </w:rPr>
        <w:t xml:space="preserve"> of ICCPR provides protection of life and security of person which cannot be taken away arbitrarily and without any reasonable cause. India is both signatory as well as ratified the </w:t>
      </w:r>
      <w:r w:rsidR="00C03E7E" w:rsidRPr="007F3B63">
        <w:rPr>
          <w:rFonts w:ascii="Times New Roman" w:hAnsi="Times New Roman" w:cs="Times New Roman"/>
          <w:sz w:val="24"/>
          <w:szCs w:val="24"/>
        </w:rPr>
        <w:t xml:space="preserve">1976 convention.  </w:t>
      </w:r>
      <w:r w:rsidR="00993BD1" w:rsidRPr="007F3B63">
        <w:rPr>
          <w:rFonts w:ascii="Times New Roman" w:hAnsi="Times New Roman" w:cs="Times New Roman"/>
          <w:sz w:val="24"/>
          <w:szCs w:val="24"/>
        </w:rPr>
        <w:t>The liberty of an individual can only be deprived in accordance with the procedure established by law only and any arbitrary exercise of the said power is violative of provisions of Article 9(1) o</w:t>
      </w:r>
      <w:r w:rsidR="007747B4" w:rsidRPr="007F3B63">
        <w:rPr>
          <w:rFonts w:ascii="Times New Roman" w:hAnsi="Times New Roman" w:cs="Times New Roman"/>
          <w:sz w:val="24"/>
          <w:szCs w:val="24"/>
        </w:rPr>
        <w:t>f ICCPR</w:t>
      </w:r>
      <w:r w:rsidR="00993BD1" w:rsidRPr="007F3B63">
        <w:rPr>
          <w:rFonts w:ascii="Times New Roman" w:hAnsi="Times New Roman" w:cs="Times New Roman"/>
          <w:sz w:val="24"/>
          <w:szCs w:val="24"/>
        </w:rPr>
        <w:t xml:space="preserve">. </w:t>
      </w:r>
    </w:p>
    <w:p w14:paraId="3AE5DEAC" w14:textId="77777777" w:rsidR="004F529B" w:rsidRPr="007F3B63" w:rsidRDefault="00C656F6" w:rsidP="007F3B63">
      <w:pPr>
        <w:spacing w:line="360" w:lineRule="auto"/>
        <w:rPr>
          <w:rFonts w:ascii="Times New Roman" w:hAnsi="Times New Roman" w:cs="Times New Roman"/>
          <w:b/>
          <w:bCs/>
          <w:sz w:val="24"/>
          <w:szCs w:val="24"/>
        </w:rPr>
      </w:pPr>
      <w:r w:rsidRPr="007F3B63">
        <w:rPr>
          <w:rFonts w:ascii="Times New Roman" w:hAnsi="Times New Roman" w:cs="Times New Roman"/>
          <w:b/>
          <w:bCs/>
          <w:sz w:val="24"/>
          <w:szCs w:val="24"/>
        </w:rPr>
        <w:t>2.3</w:t>
      </w:r>
      <w:r w:rsidR="004F529B" w:rsidRPr="007F3B63">
        <w:rPr>
          <w:rFonts w:ascii="Times New Roman" w:hAnsi="Times New Roman" w:cs="Times New Roman"/>
          <w:b/>
          <w:bCs/>
          <w:sz w:val="24"/>
          <w:szCs w:val="24"/>
        </w:rPr>
        <w:t xml:space="preserve"> </w:t>
      </w:r>
      <w:r w:rsidR="007439EB" w:rsidRPr="007F3B63">
        <w:rPr>
          <w:rFonts w:ascii="Times New Roman" w:hAnsi="Times New Roman" w:cs="Times New Roman"/>
          <w:b/>
          <w:bCs/>
          <w:sz w:val="24"/>
          <w:szCs w:val="24"/>
        </w:rPr>
        <w:t xml:space="preserve">Domestic Provisions  </w:t>
      </w:r>
    </w:p>
    <w:p w14:paraId="1F9C3146" w14:textId="77777777" w:rsidR="006A4449" w:rsidRPr="007F3B63" w:rsidRDefault="006A4449" w:rsidP="007F3B63">
      <w:pPr>
        <w:spacing w:line="360" w:lineRule="auto"/>
        <w:rPr>
          <w:rFonts w:ascii="Times New Roman" w:hAnsi="Times New Roman" w:cs="Times New Roman"/>
          <w:sz w:val="24"/>
          <w:szCs w:val="24"/>
        </w:rPr>
      </w:pPr>
    </w:p>
    <w:p w14:paraId="461B0B2B" w14:textId="77777777" w:rsidR="00145414" w:rsidRPr="007F3B63" w:rsidRDefault="00145414"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Sections 56, 57, 167 and 309 of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deal with the procedure related to the grant of remand. The difference between judicial and police custody is not simply the custodian, but under police custody, interrogation by the police is permitted, whereas under judicial custody interrogation is </w:t>
      </w:r>
      <w:r w:rsidRPr="007F3B63">
        <w:rPr>
          <w:rFonts w:ascii="Times New Roman" w:hAnsi="Times New Roman" w:cs="Times New Roman"/>
          <w:sz w:val="24"/>
          <w:szCs w:val="24"/>
        </w:rPr>
        <w:lastRenderedPageBreak/>
        <w:t xml:space="preserve">not permitted except in exceptional circumstances. Section 56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requires the police officer making the arrest without warrant to forthwith produce the person accused of an offence before a Magistrate, while s</w:t>
      </w:r>
      <w:r w:rsidR="004D1529" w:rsidRPr="007F3B63">
        <w:rPr>
          <w:rFonts w:ascii="Times New Roman" w:hAnsi="Times New Roman" w:cs="Times New Roman"/>
          <w:sz w:val="24"/>
          <w:szCs w:val="24"/>
        </w:rPr>
        <w:t>ection</w:t>
      </w:r>
      <w:r w:rsidRPr="007F3B63">
        <w:rPr>
          <w:rFonts w:ascii="Times New Roman" w:hAnsi="Times New Roman" w:cs="Times New Roman"/>
          <w:sz w:val="24"/>
          <w:szCs w:val="24"/>
        </w:rPr>
        <w:t xml:space="preserve"> 57 prohibits the police officer from detaining the arrested person for a period exceeding 24 hours. Section 167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provides for custody of a person by the police for a period of 15 days on the orders of a Magistrate. </w:t>
      </w:r>
    </w:p>
    <w:p w14:paraId="16884811" w14:textId="77777777" w:rsidR="00145414" w:rsidRPr="007F3B63" w:rsidRDefault="00145414"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The detaining authority may change during the pendency of the detention, provided that the total time period does not exceed 15 days. To extend the custody up to 60-90 days, a magistrate mus</w:t>
      </w:r>
      <w:r w:rsidR="004D1529" w:rsidRPr="007F3B63">
        <w:rPr>
          <w:rFonts w:ascii="Times New Roman" w:hAnsi="Times New Roman" w:cs="Times New Roman"/>
          <w:sz w:val="24"/>
          <w:szCs w:val="24"/>
        </w:rPr>
        <w:t>t be certain that exceptional circumstances exist</w:t>
      </w:r>
      <w:r w:rsidRPr="007F3B63">
        <w:rPr>
          <w:rFonts w:ascii="Times New Roman" w:hAnsi="Times New Roman" w:cs="Times New Roman"/>
          <w:sz w:val="24"/>
          <w:szCs w:val="24"/>
        </w:rPr>
        <w:t>. Remand must be requested when the investigation cannot be completed within the stipulated 24 hours under s</w:t>
      </w:r>
      <w:r w:rsidR="00553C1B" w:rsidRPr="007F3B63">
        <w:rPr>
          <w:rFonts w:ascii="Times New Roman" w:hAnsi="Times New Roman" w:cs="Times New Roman"/>
          <w:sz w:val="24"/>
          <w:szCs w:val="24"/>
        </w:rPr>
        <w:t>ection</w:t>
      </w:r>
      <w:r w:rsidRPr="007F3B63">
        <w:rPr>
          <w:rFonts w:ascii="Times New Roman" w:hAnsi="Times New Roman" w:cs="Times New Roman"/>
          <w:sz w:val="24"/>
          <w:szCs w:val="24"/>
        </w:rPr>
        <w:t xml:space="preserve"> 57 of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and there are reasonable grounds to believe that there is a prima facie case or the accusation is well founded. The magistrate must ensure that there are rational and credible grounds to grant custody.</w:t>
      </w:r>
      <w:r w:rsidRPr="007F3B63">
        <w:rPr>
          <w:rStyle w:val="FootnoteReference"/>
          <w:rFonts w:ascii="Times New Roman" w:hAnsi="Times New Roman" w:cs="Times New Roman"/>
          <w:sz w:val="24"/>
          <w:szCs w:val="24"/>
        </w:rPr>
        <w:footnoteReference w:id="4"/>
      </w:r>
      <w:r w:rsidRPr="007F3B63">
        <w:rPr>
          <w:rFonts w:ascii="Times New Roman" w:hAnsi="Times New Roman" w:cs="Times New Roman"/>
          <w:sz w:val="24"/>
          <w:szCs w:val="24"/>
        </w:rPr>
        <w:t xml:space="preserve"> While granting custody to the police, the Magistrate must believe that the granting custody will assist the police in some discovery of evidence and for such a discovery the presence of the accused person is indispensable. Explanation I to s. 167 (2) (c) of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allows such accused to remain in custody until he is able to furnish bail. However, it was observed by Delhi High Court in Laxmi </w:t>
      </w:r>
      <w:proofErr w:type="spellStart"/>
      <w:r w:rsidRPr="007F3B63">
        <w:rPr>
          <w:rFonts w:ascii="Times New Roman" w:hAnsi="Times New Roman" w:cs="Times New Roman"/>
          <w:sz w:val="24"/>
          <w:szCs w:val="24"/>
        </w:rPr>
        <w:t>Narain</w:t>
      </w:r>
      <w:proofErr w:type="spellEnd"/>
      <w:r w:rsidRPr="007F3B63">
        <w:rPr>
          <w:rFonts w:ascii="Times New Roman" w:hAnsi="Times New Roman" w:cs="Times New Roman"/>
          <w:sz w:val="24"/>
          <w:szCs w:val="24"/>
        </w:rPr>
        <w:t xml:space="preserve"> Gupta v. State</w:t>
      </w:r>
      <w:r w:rsidRPr="007F3B63">
        <w:rPr>
          <w:rStyle w:val="FootnoteReference"/>
          <w:rFonts w:ascii="Times New Roman" w:hAnsi="Times New Roman" w:cs="Times New Roman"/>
          <w:sz w:val="24"/>
          <w:szCs w:val="24"/>
        </w:rPr>
        <w:footnoteReference w:id="5"/>
      </w:r>
      <w:r w:rsidRPr="007F3B63">
        <w:rPr>
          <w:rFonts w:ascii="Times New Roman" w:hAnsi="Times New Roman" w:cs="Times New Roman"/>
          <w:sz w:val="24"/>
          <w:szCs w:val="24"/>
        </w:rPr>
        <w:t xml:space="preserve"> that where the accused person is in judicial custody, and is poor, direction must be passed for admitting him to bail. </w:t>
      </w:r>
    </w:p>
    <w:p w14:paraId="054166AE" w14:textId="77777777" w:rsidR="00145414" w:rsidRPr="007F3B63" w:rsidRDefault="00145414" w:rsidP="007F3B63">
      <w:pPr>
        <w:spacing w:line="360" w:lineRule="auto"/>
        <w:rPr>
          <w:rFonts w:ascii="Times New Roman" w:hAnsi="Times New Roman" w:cs="Times New Roman"/>
          <w:sz w:val="24"/>
          <w:szCs w:val="24"/>
        </w:rPr>
      </w:pPr>
    </w:p>
    <w:p w14:paraId="390CE506" w14:textId="77777777" w:rsidR="00145414" w:rsidRPr="007F3B63" w:rsidRDefault="00145414"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The Supreme Court has frowned upon a mechanical attitude towards detention, and has clearly stated that if public justice is to be promoted, mechanical detention should be demoted,</w:t>
      </w:r>
      <w:r w:rsidRPr="007F3B63">
        <w:rPr>
          <w:rStyle w:val="FootnoteReference"/>
          <w:rFonts w:ascii="Times New Roman" w:hAnsi="Times New Roman" w:cs="Times New Roman"/>
          <w:sz w:val="24"/>
          <w:szCs w:val="24"/>
        </w:rPr>
        <w:footnoteReference w:id="6"/>
      </w:r>
      <w:r w:rsidRPr="007F3B63">
        <w:rPr>
          <w:rFonts w:ascii="Times New Roman" w:hAnsi="Times New Roman" w:cs="Times New Roman"/>
          <w:sz w:val="24"/>
          <w:szCs w:val="24"/>
        </w:rPr>
        <w:t xml:space="preserve"> yet, casual approach to remand remains the norm. Bail hearings happen only when the person accused of an offence moves a bail application. If the accused does </w:t>
      </w:r>
      <w:r w:rsidR="006A4449" w:rsidRPr="007F3B63">
        <w:rPr>
          <w:rFonts w:ascii="Times New Roman" w:hAnsi="Times New Roman" w:cs="Times New Roman"/>
          <w:sz w:val="24"/>
          <w:szCs w:val="24"/>
        </w:rPr>
        <w:t>not have legal representation,</w:t>
      </w:r>
      <w:r w:rsidRPr="007F3B63">
        <w:rPr>
          <w:rFonts w:ascii="Times New Roman" w:hAnsi="Times New Roman" w:cs="Times New Roman"/>
          <w:sz w:val="24"/>
          <w:szCs w:val="24"/>
        </w:rPr>
        <w:t xml:space="preserve"> or the lawyer does not move for bail, the person continues to remain in custody and is denied liberty without cause. Similarly, post-cognizance, the Court is empowered to remand the accused </w:t>
      </w:r>
      <w:r w:rsidRPr="007F3B63">
        <w:rPr>
          <w:rFonts w:ascii="Times New Roman" w:hAnsi="Times New Roman" w:cs="Times New Roman"/>
          <w:sz w:val="24"/>
          <w:szCs w:val="24"/>
        </w:rPr>
        <w:lastRenderedPageBreak/>
        <w:t>for periods not exceeding 15 days at a time.</w:t>
      </w:r>
      <w:r w:rsidRPr="007F3B63">
        <w:rPr>
          <w:rStyle w:val="FootnoteReference"/>
          <w:rFonts w:ascii="Times New Roman" w:hAnsi="Times New Roman" w:cs="Times New Roman"/>
          <w:sz w:val="24"/>
          <w:szCs w:val="24"/>
        </w:rPr>
        <w:footnoteReference w:id="7"/>
      </w:r>
      <w:r w:rsidRPr="007F3B63">
        <w:rPr>
          <w:rFonts w:ascii="Times New Roman" w:hAnsi="Times New Roman" w:cs="Times New Roman"/>
          <w:sz w:val="24"/>
          <w:szCs w:val="24"/>
        </w:rPr>
        <w:t xml:space="preserve"> Normally, the trial should take place on a day-to-day basis, but since this is rarely the case, Courts grant adjournments and postponements to the next date of hearing and remand the accused person in the meantime.</w:t>
      </w:r>
      <w:r w:rsidRPr="007F3B63">
        <w:rPr>
          <w:rStyle w:val="FootnoteReference"/>
          <w:rFonts w:ascii="Times New Roman" w:hAnsi="Times New Roman" w:cs="Times New Roman"/>
          <w:sz w:val="24"/>
          <w:szCs w:val="24"/>
        </w:rPr>
        <w:footnoteReference w:id="8"/>
      </w:r>
      <w:r w:rsidRPr="007F3B63">
        <w:rPr>
          <w:rFonts w:ascii="Times New Roman" w:hAnsi="Times New Roman" w:cs="Times New Roman"/>
          <w:sz w:val="24"/>
          <w:szCs w:val="24"/>
        </w:rPr>
        <w:t xml:space="preserve"> The section does require the court to record reasons for postponement or adjournment however, in cases where the court does record reasons, it is rather superficial and perfunctory. </w:t>
      </w:r>
    </w:p>
    <w:p w14:paraId="3EBAD96B" w14:textId="77777777" w:rsidR="004F529B" w:rsidRPr="007F3B63" w:rsidRDefault="00145414"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Legislative authority for the detention of persons in prison for a suspected offence is provided under section 167 and 309(2)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The Code, however, makes a clear distinction between detention in custody before and after taking cognizance. The former is covered by s. 167 of the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and the latter by s. 309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xml:space="preserve">. The two are mutually exclusive. In State through C.B.I v. Dawood Ibrahim </w:t>
      </w:r>
      <w:proofErr w:type="spellStart"/>
      <w:r w:rsidRPr="007F3B63">
        <w:rPr>
          <w:rFonts w:ascii="Times New Roman" w:hAnsi="Times New Roman" w:cs="Times New Roman"/>
          <w:sz w:val="24"/>
          <w:szCs w:val="24"/>
        </w:rPr>
        <w:t>Kaskar</w:t>
      </w:r>
      <w:proofErr w:type="spellEnd"/>
      <w:r w:rsidR="004D1529" w:rsidRPr="007F3B63">
        <w:rPr>
          <w:rFonts w:ascii="Times New Roman" w:hAnsi="Times New Roman" w:cs="Times New Roman"/>
          <w:sz w:val="24"/>
          <w:szCs w:val="24"/>
        </w:rPr>
        <w:t>, the court</w:t>
      </w:r>
      <w:r w:rsidRPr="007F3B63">
        <w:rPr>
          <w:rFonts w:ascii="Times New Roman" w:hAnsi="Times New Roman" w:cs="Times New Roman"/>
          <w:sz w:val="24"/>
          <w:szCs w:val="24"/>
        </w:rPr>
        <w:t xml:space="preserve"> elaborated upon the scope and extent of remand under sections 167 and 309 of </w:t>
      </w:r>
      <w:proofErr w:type="spellStart"/>
      <w:r w:rsidRPr="007F3B63">
        <w:rPr>
          <w:rFonts w:ascii="Times New Roman" w:hAnsi="Times New Roman" w:cs="Times New Roman"/>
          <w:sz w:val="24"/>
          <w:szCs w:val="24"/>
        </w:rPr>
        <w:t>Cr.PC</w:t>
      </w:r>
      <w:proofErr w:type="spellEnd"/>
      <w:r w:rsidRPr="007F3B63">
        <w:rPr>
          <w:rFonts w:ascii="Times New Roman" w:hAnsi="Times New Roman" w:cs="Times New Roman"/>
          <w:sz w:val="24"/>
          <w:szCs w:val="24"/>
        </w:rPr>
        <w:t>:  “</w:t>
      </w:r>
      <w:r w:rsidRPr="007F3B63">
        <w:rPr>
          <w:rFonts w:ascii="Times New Roman" w:hAnsi="Times New Roman" w:cs="Times New Roman"/>
          <w:i/>
          <w:sz w:val="24"/>
          <w:szCs w:val="24"/>
        </w:rPr>
        <w:t>If Section 309(2) is to be interpreted… to mean that after the court takes cognizance of an offence it cannot exercise its power of detention in police custody under Section 167 of the Code, the investigating agency would be deprived of an opportunity to interrogate a person arrested during further investigation, even if it can on production of sufficient materials, convince the court that his detention in its (police) custody was essential for that purpose</w:t>
      </w:r>
      <w:r w:rsidRPr="007F3B63">
        <w:rPr>
          <w:rFonts w:ascii="Times New Roman" w:hAnsi="Times New Roman" w:cs="Times New Roman"/>
          <w:sz w:val="24"/>
          <w:szCs w:val="24"/>
        </w:rPr>
        <w:t>.”</w:t>
      </w:r>
      <w:r w:rsidR="005524B3" w:rsidRPr="007F3B63">
        <w:rPr>
          <w:rStyle w:val="FootnoteReference"/>
          <w:rFonts w:ascii="Times New Roman" w:hAnsi="Times New Roman" w:cs="Times New Roman"/>
          <w:sz w:val="24"/>
          <w:szCs w:val="24"/>
        </w:rPr>
        <w:t xml:space="preserve"> </w:t>
      </w:r>
      <w:r w:rsidR="005524B3" w:rsidRPr="007F3B63">
        <w:rPr>
          <w:rStyle w:val="FootnoteReference"/>
          <w:rFonts w:ascii="Times New Roman" w:hAnsi="Times New Roman" w:cs="Times New Roman"/>
          <w:sz w:val="24"/>
          <w:szCs w:val="24"/>
        </w:rPr>
        <w:footnoteReference w:id="9"/>
      </w:r>
    </w:p>
    <w:p w14:paraId="2133A73A" w14:textId="77777777" w:rsidR="00774966" w:rsidRPr="007F3B63" w:rsidRDefault="00774966"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The scheme of the provisions in section 167, 209 and 309 is that while s</w:t>
      </w:r>
      <w:r w:rsidR="00CD4C86" w:rsidRPr="007F3B63">
        <w:rPr>
          <w:rFonts w:ascii="Times New Roman" w:hAnsi="Times New Roman" w:cs="Times New Roman"/>
          <w:sz w:val="24"/>
          <w:szCs w:val="24"/>
        </w:rPr>
        <w:t>ec. 167 of the code provides for the detention of the accused d</w:t>
      </w:r>
      <w:r w:rsidRPr="007F3B63">
        <w:rPr>
          <w:rFonts w:ascii="Times New Roman" w:hAnsi="Times New Roman" w:cs="Times New Roman"/>
          <w:sz w:val="24"/>
          <w:szCs w:val="24"/>
        </w:rPr>
        <w:t>uring pendency of investigation, s</w:t>
      </w:r>
      <w:r w:rsidR="00CD4C86" w:rsidRPr="007F3B63">
        <w:rPr>
          <w:rFonts w:ascii="Times New Roman" w:hAnsi="Times New Roman" w:cs="Times New Roman"/>
          <w:sz w:val="24"/>
          <w:szCs w:val="24"/>
        </w:rPr>
        <w:t>ec. 209 provides for detention of the accused during pendenc</w:t>
      </w:r>
      <w:r w:rsidRPr="007F3B63">
        <w:rPr>
          <w:rFonts w:ascii="Times New Roman" w:hAnsi="Times New Roman" w:cs="Times New Roman"/>
          <w:sz w:val="24"/>
          <w:szCs w:val="24"/>
        </w:rPr>
        <w:t>y of Committal proceedings and s</w:t>
      </w:r>
      <w:r w:rsidR="00CD4C86" w:rsidRPr="007F3B63">
        <w:rPr>
          <w:rFonts w:ascii="Times New Roman" w:hAnsi="Times New Roman" w:cs="Times New Roman"/>
          <w:sz w:val="24"/>
          <w:szCs w:val="24"/>
        </w:rPr>
        <w:t>ec. 309(2) provides for detention of the accused duri</w:t>
      </w:r>
      <w:r w:rsidRPr="007F3B63">
        <w:rPr>
          <w:rFonts w:ascii="Times New Roman" w:hAnsi="Times New Roman" w:cs="Times New Roman"/>
          <w:sz w:val="24"/>
          <w:szCs w:val="24"/>
        </w:rPr>
        <w:t>ng pendency of trial or inquiry.</w:t>
      </w:r>
      <w:r w:rsidRPr="007F3B63">
        <w:rPr>
          <w:rStyle w:val="FootnoteReference"/>
          <w:rFonts w:ascii="Times New Roman" w:hAnsi="Times New Roman" w:cs="Times New Roman"/>
          <w:sz w:val="24"/>
          <w:szCs w:val="24"/>
        </w:rPr>
        <w:footnoteReference w:id="10"/>
      </w:r>
    </w:p>
    <w:p w14:paraId="55A32F3D" w14:textId="77777777" w:rsidR="007A01D1" w:rsidRPr="007F3B63" w:rsidRDefault="007A01D1" w:rsidP="007F3B63">
      <w:pPr>
        <w:spacing w:line="360" w:lineRule="auto"/>
        <w:rPr>
          <w:rFonts w:ascii="Times New Roman" w:hAnsi="Times New Roman" w:cs="Times New Roman"/>
          <w:color w:val="000000"/>
          <w:sz w:val="24"/>
          <w:szCs w:val="24"/>
        </w:rPr>
      </w:pPr>
    </w:p>
    <w:p w14:paraId="705828D3" w14:textId="77777777" w:rsidR="00BA66ED" w:rsidRPr="007F3B63" w:rsidRDefault="00562532" w:rsidP="007F3B63">
      <w:pPr>
        <w:spacing w:line="360" w:lineRule="auto"/>
        <w:rPr>
          <w:rFonts w:ascii="Times New Roman" w:hAnsi="Times New Roman" w:cs="Times New Roman"/>
          <w:b/>
          <w:color w:val="000000" w:themeColor="text1"/>
          <w:sz w:val="28"/>
          <w:szCs w:val="28"/>
          <w:u w:val="single"/>
        </w:rPr>
      </w:pPr>
      <w:r w:rsidRPr="007F3B63">
        <w:rPr>
          <w:rFonts w:ascii="Times New Roman" w:hAnsi="Times New Roman" w:cs="Times New Roman"/>
          <w:b/>
          <w:color w:val="000000" w:themeColor="text1"/>
          <w:sz w:val="28"/>
          <w:szCs w:val="28"/>
          <w:u w:val="single"/>
        </w:rPr>
        <w:t>3</w:t>
      </w:r>
      <w:r w:rsidR="004F529B" w:rsidRPr="007F3B63">
        <w:rPr>
          <w:rFonts w:ascii="Times New Roman" w:hAnsi="Times New Roman" w:cs="Times New Roman"/>
          <w:b/>
          <w:color w:val="000000" w:themeColor="text1"/>
          <w:sz w:val="28"/>
          <w:szCs w:val="28"/>
          <w:u w:val="single"/>
        </w:rPr>
        <w:t>.</w:t>
      </w:r>
      <w:r w:rsidR="00A23A06" w:rsidRPr="007F3B63">
        <w:rPr>
          <w:rFonts w:ascii="Times New Roman" w:hAnsi="Times New Roman" w:cs="Times New Roman"/>
          <w:b/>
          <w:color w:val="000000" w:themeColor="text1"/>
          <w:sz w:val="28"/>
          <w:szCs w:val="28"/>
          <w:u w:val="single"/>
        </w:rPr>
        <w:t xml:space="preserve"> </w:t>
      </w:r>
      <w:r w:rsidR="005524B3" w:rsidRPr="007F3B63">
        <w:rPr>
          <w:rFonts w:ascii="Times New Roman" w:hAnsi="Times New Roman" w:cs="Times New Roman"/>
          <w:b/>
          <w:sz w:val="28"/>
          <w:szCs w:val="28"/>
          <w:u w:val="single"/>
        </w:rPr>
        <w:t>Relevant a</w:t>
      </w:r>
      <w:r w:rsidR="00972BBD" w:rsidRPr="007F3B63">
        <w:rPr>
          <w:rFonts w:ascii="Times New Roman" w:hAnsi="Times New Roman" w:cs="Times New Roman"/>
          <w:b/>
          <w:sz w:val="28"/>
          <w:szCs w:val="28"/>
          <w:u w:val="single"/>
        </w:rPr>
        <w:t>nd Sufficient Cause f</w:t>
      </w:r>
      <w:r w:rsidR="005524B3" w:rsidRPr="007F3B63">
        <w:rPr>
          <w:rFonts w:ascii="Times New Roman" w:hAnsi="Times New Roman" w:cs="Times New Roman"/>
          <w:b/>
          <w:sz w:val="28"/>
          <w:szCs w:val="28"/>
          <w:u w:val="single"/>
        </w:rPr>
        <w:t xml:space="preserve">or Detention </w:t>
      </w:r>
    </w:p>
    <w:p w14:paraId="0123158D" w14:textId="77777777" w:rsidR="006A4449" w:rsidRPr="007F3B63" w:rsidRDefault="00BA66ED"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lastRenderedPageBreak/>
        <w:t xml:space="preserve">The most common legitimate ground for deprivation of liberty is no doubt that a person is reasonably suspected of having committed an offence. </w:t>
      </w:r>
      <w:r w:rsidRPr="007F3B63">
        <w:rPr>
          <w:rFonts w:ascii="Times New Roman" w:hAnsi="Times New Roman" w:cs="Times New Roman"/>
          <w:bCs/>
          <w:i/>
          <w:iCs/>
          <w:sz w:val="24"/>
          <w:szCs w:val="24"/>
        </w:rPr>
        <w:t>Liberty is the rule, to which detention must be the exception</w:t>
      </w:r>
      <w:r w:rsidRPr="007F3B63">
        <w:rPr>
          <w:rFonts w:ascii="Times New Roman" w:hAnsi="Times New Roman" w:cs="Times New Roman"/>
          <w:i/>
          <w:iCs/>
          <w:sz w:val="24"/>
          <w:szCs w:val="24"/>
        </w:rPr>
        <w:t xml:space="preserve">. </w:t>
      </w:r>
      <w:r w:rsidRPr="007F3B63">
        <w:rPr>
          <w:rFonts w:ascii="Times New Roman" w:hAnsi="Times New Roman" w:cs="Times New Roman"/>
          <w:sz w:val="24"/>
          <w:szCs w:val="24"/>
        </w:rPr>
        <w:t>As stated in Rule 6.1 of the United Nations Standard Minimum Rules for Non-Custodial Measures, the so-called “Tokyo Rules”, “pre-trial detention shall be used as a means of last resort in criminal proceedings, with due regard for the investigation of the alleged offence and for the protection of society and the victim”.</w:t>
      </w:r>
      <w:r w:rsidRPr="007F3B63">
        <w:rPr>
          <w:rStyle w:val="FootnoteReference"/>
          <w:rFonts w:ascii="Times New Roman" w:hAnsi="Times New Roman" w:cs="Times New Roman"/>
          <w:sz w:val="24"/>
          <w:szCs w:val="24"/>
        </w:rPr>
        <w:footnoteReference w:id="11"/>
      </w:r>
      <w:r w:rsidRPr="007F3B63">
        <w:rPr>
          <w:rFonts w:ascii="Times New Roman" w:hAnsi="Times New Roman" w:cs="Times New Roman"/>
          <w:sz w:val="24"/>
          <w:szCs w:val="24"/>
        </w:rPr>
        <w:t xml:space="preserve"> </w:t>
      </w:r>
    </w:p>
    <w:p w14:paraId="39FE6F1B" w14:textId="77777777" w:rsidR="006A4449" w:rsidRPr="007F3B63" w:rsidRDefault="00C33C62" w:rsidP="007F3B63">
      <w:pPr>
        <w:spacing w:line="360" w:lineRule="auto"/>
        <w:rPr>
          <w:rFonts w:ascii="Times New Roman" w:hAnsi="Times New Roman" w:cs="Times New Roman"/>
          <w:iCs/>
          <w:sz w:val="24"/>
          <w:szCs w:val="24"/>
        </w:rPr>
      </w:pPr>
      <w:r w:rsidRPr="007F3B63">
        <w:rPr>
          <w:rFonts w:ascii="Times New Roman" w:hAnsi="Times New Roman" w:cs="Times New Roman"/>
          <w:iCs/>
          <w:sz w:val="24"/>
          <w:szCs w:val="24"/>
        </w:rPr>
        <w:t xml:space="preserve"> </w:t>
      </w:r>
      <w:r w:rsidR="00553C1B" w:rsidRPr="007F3B63">
        <w:rPr>
          <w:rFonts w:ascii="Times New Roman" w:hAnsi="Times New Roman" w:cs="Times New Roman"/>
          <w:iCs/>
          <w:sz w:val="24"/>
          <w:szCs w:val="24"/>
        </w:rPr>
        <w:t xml:space="preserve"> </w:t>
      </w:r>
    </w:p>
    <w:p w14:paraId="70F93114" w14:textId="77777777" w:rsidR="005E40A0" w:rsidRPr="007F3B63" w:rsidRDefault="00562532" w:rsidP="007F3B63">
      <w:pPr>
        <w:spacing w:line="360" w:lineRule="auto"/>
        <w:rPr>
          <w:rFonts w:ascii="Times New Roman" w:hAnsi="Times New Roman" w:cs="Times New Roman"/>
          <w:b/>
          <w:bCs/>
          <w:i/>
          <w:iCs/>
          <w:sz w:val="24"/>
          <w:szCs w:val="24"/>
        </w:rPr>
      </w:pPr>
      <w:r w:rsidRPr="007F3B63">
        <w:rPr>
          <w:rFonts w:ascii="Times New Roman" w:hAnsi="Times New Roman" w:cs="Times New Roman"/>
          <w:b/>
          <w:bCs/>
          <w:iCs/>
          <w:sz w:val="24"/>
          <w:szCs w:val="24"/>
        </w:rPr>
        <w:t>3</w:t>
      </w:r>
      <w:r w:rsidR="005524B3" w:rsidRPr="007F3B63">
        <w:rPr>
          <w:rFonts w:ascii="Times New Roman" w:hAnsi="Times New Roman" w:cs="Times New Roman"/>
          <w:b/>
          <w:bCs/>
          <w:iCs/>
          <w:sz w:val="24"/>
          <w:szCs w:val="24"/>
        </w:rPr>
        <w:t xml:space="preserve">.1 </w:t>
      </w:r>
      <w:r w:rsidR="001C2A0B" w:rsidRPr="007F3B63">
        <w:rPr>
          <w:rFonts w:ascii="Times New Roman" w:hAnsi="Times New Roman" w:cs="Times New Roman"/>
          <w:b/>
          <w:bCs/>
          <w:iCs/>
          <w:sz w:val="24"/>
          <w:szCs w:val="24"/>
        </w:rPr>
        <w:t>The meaning of “reasonableness</w:t>
      </w:r>
      <w:r w:rsidR="001C2A0B" w:rsidRPr="007F3B63">
        <w:rPr>
          <w:rFonts w:ascii="Times New Roman" w:hAnsi="Times New Roman" w:cs="Times New Roman"/>
          <w:b/>
          <w:bCs/>
          <w:i/>
          <w:iCs/>
          <w:sz w:val="24"/>
          <w:szCs w:val="24"/>
        </w:rPr>
        <w:t xml:space="preserve">”     </w:t>
      </w:r>
    </w:p>
    <w:p w14:paraId="22DCC281" w14:textId="77777777" w:rsidR="001C2A0B" w:rsidRPr="007F3B63" w:rsidRDefault="005E40A0"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All human beings have the right to enjoy respect for their liberty and security. It is </w:t>
      </w:r>
      <w:r w:rsidR="005524B3" w:rsidRPr="007F3B63">
        <w:rPr>
          <w:rFonts w:ascii="Times New Roman" w:hAnsi="Times New Roman" w:cs="Times New Roman"/>
          <w:sz w:val="24"/>
          <w:szCs w:val="24"/>
        </w:rPr>
        <w:t>obvious</w:t>
      </w:r>
      <w:r w:rsidRPr="007F3B63">
        <w:rPr>
          <w:rFonts w:ascii="Times New Roman" w:hAnsi="Times New Roman" w:cs="Times New Roman"/>
          <w:sz w:val="24"/>
          <w:szCs w:val="24"/>
        </w:rPr>
        <w:t xml:space="preserve"> that, without an efficient guarantee of the liberty and security of the human person, the protection of other individual rights becomes increasingly vulnerable and often illusory. Yet, as is evidenced by the work of the international monitoring organs, arrests and detentions without reasonable cause, and without there being any effective legal remedies available to the victims concerned, are commonplace. In the course of such arbitrary and unlawful deprivations of liberty, the detainees are frequently also deprived of access both to lawyers and to their own families, and also subjected to torture and other forms of ill-treatment.</w:t>
      </w:r>
      <w:r w:rsidRPr="007F3B63">
        <w:rPr>
          <w:rStyle w:val="FootnoteReference"/>
          <w:rFonts w:ascii="Times New Roman" w:hAnsi="Times New Roman" w:cs="Times New Roman"/>
          <w:sz w:val="24"/>
          <w:szCs w:val="24"/>
        </w:rPr>
        <w:footnoteReference w:id="12"/>
      </w:r>
    </w:p>
    <w:p w14:paraId="0A1E9A9F" w14:textId="77777777" w:rsidR="00D268C0" w:rsidRPr="007F3B63" w:rsidRDefault="00A61C90"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European courts on Human Rights (ECHR) has in a number of instances pointed out that the persistence of reasonable suspicion that the person arrested has committed an offence is a condition </w:t>
      </w:r>
      <w:r w:rsidR="00012878" w:rsidRPr="007F3B63">
        <w:rPr>
          <w:rFonts w:ascii="Times New Roman" w:hAnsi="Times New Roman" w:cs="Times New Roman"/>
          <w:i/>
          <w:sz w:val="24"/>
          <w:szCs w:val="24"/>
        </w:rPr>
        <w:t>sine qua non</w:t>
      </w:r>
      <w:r w:rsidR="00012878" w:rsidRPr="007F3B63">
        <w:rPr>
          <w:rFonts w:ascii="Times New Roman" w:hAnsi="Times New Roman" w:cs="Times New Roman"/>
          <w:sz w:val="24"/>
          <w:szCs w:val="24"/>
        </w:rPr>
        <w:t xml:space="preserve"> for the validity of the continued detention, but, after a certain amount of time elapsed, it no longer suffices: the court must then establish whether the other grounds cited by the authorities continued to justify the deprivation of liberty. Where such grounds were ‘relevant’ and ‘sufficient’, the court must also ascertain whether competent national authorities displayed ‘special diligence in the conduct of the proceedings’.</w:t>
      </w:r>
      <w:r w:rsidR="00012878" w:rsidRPr="007F3B63">
        <w:rPr>
          <w:rStyle w:val="FootnoteReference"/>
          <w:rFonts w:ascii="Times New Roman" w:hAnsi="Times New Roman" w:cs="Times New Roman"/>
          <w:sz w:val="24"/>
          <w:szCs w:val="24"/>
        </w:rPr>
        <w:footnoteReference w:id="13"/>
      </w:r>
    </w:p>
    <w:p w14:paraId="531E6B60" w14:textId="77777777" w:rsidR="005E40A0" w:rsidRPr="007F3B63" w:rsidRDefault="005E40A0" w:rsidP="007F3B63">
      <w:pPr>
        <w:spacing w:line="360" w:lineRule="auto"/>
        <w:rPr>
          <w:rFonts w:ascii="Times New Roman" w:hAnsi="Times New Roman" w:cs="Times New Roman"/>
          <w:sz w:val="24"/>
          <w:szCs w:val="24"/>
        </w:rPr>
      </w:pPr>
    </w:p>
    <w:p w14:paraId="510A22C2" w14:textId="77777777" w:rsidR="00A91EC8" w:rsidRPr="007F3B63" w:rsidRDefault="001C2A0B"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lastRenderedPageBreak/>
        <w:t xml:space="preserve">The European Court </w:t>
      </w:r>
      <w:r w:rsidR="00BA66ED" w:rsidRPr="007F3B63">
        <w:rPr>
          <w:rFonts w:ascii="Times New Roman" w:hAnsi="Times New Roman" w:cs="Times New Roman"/>
          <w:sz w:val="24"/>
          <w:szCs w:val="24"/>
        </w:rPr>
        <w:t xml:space="preserve">in </w:t>
      </w:r>
      <w:r w:rsidR="00BA66ED" w:rsidRPr="007F3B63">
        <w:rPr>
          <w:rFonts w:ascii="Times New Roman" w:hAnsi="Times New Roman" w:cs="Times New Roman"/>
          <w:i/>
          <w:iCs/>
          <w:sz w:val="24"/>
          <w:szCs w:val="24"/>
        </w:rPr>
        <w:t xml:space="preserve"> Campbell and Hartley v. the United Kingdom</w:t>
      </w:r>
      <w:r w:rsidR="00BA66ED" w:rsidRPr="007F3B63">
        <w:rPr>
          <w:rStyle w:val="FootnoteReference"/>
          <w:rFonts w:ascii="Times New Roman" w:hAnsi="Times New Roman" w:cs="Times New Roman"/>
          <w:i/>
          <w:iCs/>
          <w:sz w:val="24"/>
          <w:szCs w:val="24"/>
        </w:rPr>
        <w:footnoteReference w:id="14"/>
      </w:r>
      <w:r w:rsidR="00BA66ED" w:rsidRPr="007F3B63">
        <w:rPr>
          <w:rFonts w:ascii="Times New Roman" w:hAnsi="Times New Roman" w:cs="Times New Roman"/>
          <w:sz w:val="24"/>
          <w:szCs w:val="24"/>
        </w:rPr>
        <w:t xml:space="preserve"> </w:t>
      </w:r>
      <w:r w:rsidRPr="007F3B63">
        <w:rPr>
          <w:rFonts w:ascii="Times New Roman" w:hAnsi="Times New Roman" w:cs="Times New Roman"/>
          <w:sz w:val="24"/>
          <w:szCs w:val="24"/>
        </w:rPr>
        <w:t>has held that the “‘reasonableness’ of the su</w:t>
      </w:r>
      <w:r w:rsidR="00A91EC8" w:rsidRPr="007F3B63">
        <w:rPr>
          <w:rFonts w:ascii="Times New Roman" w:hAnsi="Times New Roman" w:cs="Times New Roman"/>
          <w:sz w:val="24"/>
          <w:szCs w:val="24"/>
        </w:rPr>
        <w:t xml:space="preserve">spicion on which an arrest must </w:t>
      </w:r>
      <w:r w:rsidRPr="007F3B63">
        <w:rPr>
          <w:rFonts w:ascii="Times New Roman" w:hAnsi="Times New Roman" w:cs="Times New Roman"/>
          <w:sz w:val="24"/>
          <w:szCs w:val="24"/>
        </w:rPr>
        <w:t>be based forms an essential part of the safeguard against arbitrary</w:t>
      </w:r>
      <w:r w:rsidR="00A91EC8" w:rsidRPr="007F3B63">
        <w:rPr>
          <w:rFonts w:ascii="Times New Roman" w:hAnsi="Times New Roman" w:cs="Times New Roman"/>
          <w:sz w:val="24"/>
          <w:szCs w:val="24"/>
        </w:rPr>
        <w:t xml:space="preserve"> arrest and detention, which is </w:t>
      </w:r>
      <w:r w:rsidRPr="007F3B63">
        <w:rPr>
          <w:rFonts w:ascii="Times New Roman" w:hAnsi="Times New Roman" w:cs="Times New Roman"/>
          <w:sz w:val="24"/>
          <w:szCs w:val="24"/>
        </w:rPr>
        <w:t>laid down in” article 5(1)(c) of the European Convention,</w:t>
      </w:r>
      <w:r w:rsidR="00A91EC8" w:rsidRPr="007F3B63">
        <w:rPr>
          <w:rFonts w:ascii="Times New Roman" w:hAnsi="Times New Roman" w:cs="Times New Roman"/>
          <w:sz w:val="24"/>
          <w:szCs w:val="24"/>
        </w:rPr>
        <w:t xml:space="preserve"> and that the fact of “having a </w:t>
      </w:r>
      <w:r w:rsidRPr="007F3B63">
        <w:rPr>
          <w:rFonts w:ascii="Times New Roman" w:hAnsi="Times New Roman" w:cs="Times New Roman"/>
          <w:sz w:val="24"/>
          <w:szCs w:val="24"/>
        </w:rPr>
        <w:t>‘reasonable suspicion’ presupposes the existence of facts or information which would satisfy an</w:t>
      </w:r>
      <w:r w:rsidR="00A91EC8" w:rsidRPr="007F3B63">
        <w:rPr>
          <w:rFonts w:ascii="Times New Roman" w:hAnsi="Times New Roman" w:cs="Times New Roman"/>
          <w:sz w:val="24"/>
          <w:szCs w:val="24"/>
        </w:rPr>
        <w:t xml:space="preserve"> </w:t>
      </w:r>
      <w:r w:rsidRPr="007F3B63">
        <w:rPr>
          <w:rFonts w:ascii="Times New Roman" w:hAnsi="Times New Roman" w:cs="Times New Roman"/>
          <w:bCs/>
          <w:i/>
          <w:iCs/>
          <w:sz w:val="24"/>
          <w:szCs w:val="24"/>
        </w:rPr>
        <w:t xml:space="preserve">objective observer </w:t>
      </w:r>
      <w:r w:rsidRPr="007F3B63">
        <w:rPr>
          <w:rFonts w:ascii="Times New Roman" w:hAnsi="Times New Roman" w:cs="Times New Roman"/>
          <w:sz w:val="24"/>
          <w:szCs w:val="24"/>
        </w:rPr>
        <w:t>that the person concerned may have committed the offence</w:t>
      </w:r>
      <w:r w:rsidR="00A91EC8" w:rsidRPr="007F3B63">
        <w:rPr>
          <w:rFonts w:ascii="Times New Roman" w:hAnsi="Times New Roman" w:cs="Times New Roman"/>
          <w:sz w:val="24"/>
          <w:szCs w:val="24"/>
        </w:rPr>
        <w:t>, however, what “may be regarded as ‘reasonable’ will depend upon all the circumstances.”</w:t>
      </w:r>
      <w:r w:rsidR="00A91EC8" w:rsidRPr="007F3B63">
        <w:rPr>
          <w:rStyle w:val="FootnoteReference"/>
          <w:rFonts w:ascii="Times New Roman" w:hAnsi="Times New Roman" w:cs="Times New Roman"/>
          <w:sz w:val="24"/>
          <w:szCs w:val="24"/>
        </w:rPr>
        <w:footnoteReference w:id="15"/>
      </w:r>
    </w:p>
    <w:p w14:paraId="0CE44100" w14:textId="77777777" w:rsidR="00A91EC8" w:rsidRPr="007F3B63" w:rsidRDefault="00A91EC8" w:rsidP="007F3B63">
      <w:pPr>
        <w:spacing w:line="360" w:lineRule="auto"/>
        <w:rPr>
          <w:rFonts w:ascii="Times New Roman" w:hAnsi="Times New Roman" w:cs="Times New Roman"/>
          <w:sz w:val="24"/>
          <w:szCs w:val="24"/>
        </w:rPr>
      </w:pPr>
    </w:p>
    <w:p w14:paraId="2B9E4C48" w14:textId="77777777" w:rsidR="00375A80" w:rsidRPr="007F3B63" w:rsidRDefault="00A91EC8"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In connection with arrests and detention under criminal legislation enacted to deal with </w:t>
      </w:r>
      <w:r w:rsidRPr="007F3B63">
        <w:rPr>
          <w:rFonts w:ascii="Times New Roman" w:hAnsi="Times New Roman" w:cs="Times New Roman"/>
          <w:bCs/>
          <w:i/>
          <w:iCs/>
          <w:sz w:val="24"/>
          <w:szCs w:val="24"/>
        </w:rPr>
        <w:t xml:space="preserve">acts of terrorism </w:t>
      </w:r>
      <w:r w:rsidRPr="007F3B63">
        <w:rPr>
          <w:rFonts w:ascii="Times New Roman" w:hAnsi="Times New Roman" w:cs="Times New Roman"/>
          <w:sz w:val="24"/>
          <w:szCs w:val="24"/>
        </w:rPr>
        <w:t xml:space="preserve">connected with the affairs of Northern Ireland, the European Court has explained that “in view of the difficulties inherent in the investigation and prosecution of terrorist-type offences, the ‘reasonableness’ of the suspicion justifying such arrests cannot always be judged according to the same standards as are applied in dealing with conventional crime. Nevertheless, the exigencies of dealing with terrorist crime cannot justify stretching the notion of ‘reasonableness’ to the point where the </w:t>
      </w:r>
      <w:r w:rsidRPr="007F3B63">
        <w:rPr>
          <w:rFonts w:ascii="Times New Roman" w:hAnsi="Times New Roman" w:cs="Times New Roman"/>
          <w:bCs/>
          <w:i/>
          <w:iCs/>
          <w:sz w:val="24"/>
          <w:szCs w:val="24"/>
        </w:rPr>
        <w:t xml:space="preserve">essence </w:t>
      </w:r>
      <w:r w:rsidRPr="007F3B63">
        <w:rPr>
          <w:rFonts w:ascii="Times New Roman" w:hAnsi="Times New Roman" w:cs="Times New Roman"/>
          <w:sz w:val="24"/>
          <w:szCs w:val="24"/>
        </w:rPr>
        <w:t xml:space="preserve">of the </w:t>
      </w:r>
      <w:r w:rsidR="00E03C28" w:rsidRPr="007F3B63">
        <w:rPr>
          <w:rFonts w:ascii="Times New Roman" w:hAnsi="Times New Roman" w:cs="Times New Roman"/>
          <w:sz w:val="24"/>
          <w:szCs w:val="24"/>
        </w:rPr>
        <w:t>safeguard secured by Article 5(1)(c)</w:t>
      </w:r>
      <w:r w:rsidRPr="007F3B63">
        <w:rPr>
          <w:rFonts w:ascii="Times New Roman" w:hAnsi="Times New Roman" w:cs="Times New Roman"/>
          <w:sz w:val="24"/>
          <w:szCs w:val="24"/>
        </w:rPr>
        <w:t xml:space="preserve"> is impaired.”</w:t>
      </w:r>
      <w:r w:rsidRPr="007F3B63">
        <w:rPr>
          <w:rStyle w:val="FootnoteReference"/>
          <w:rFonts w:ascii="Times New Roman" w:hAnsi="Times New Roman" w:cs="Times New Roman"/>
          <w:sz w:val="24"/>
          <w:szCs w:val="24"/>
        </w:rPr>
        <w:footnoteReference w:id="16"/>
      </w:r>
    </w:p>
    <w:p w14:paraId="72E1313B" w14:textId="77777777" w:rsidR="00562532" w:rsidRPr="007F3B63" w:rsidRDefault="00541AB5"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The human rights committee in its general comment no. 35</w:t>
      </w:r>
      <w:r w:rsidRPr="007F3B63">
        <w:rPr>
          <w:rStyle w:val="FootnoteReference"/>
          <w:rFonts w:ascii="Times New Roman" w:hAnsi="Times New Roman" w:cs="Times New Roman"/>
          <w:sz w:val="24"/>
          <w:szCs w:val="24"/>
        </w:rPr>
        <w:footnoteReference w:id="17"/>
      </w:r>
      <w:r w:rsidRPr="007F3B63">
        <w:rPr>
          <w:rFonts w:ascii="Times New Roman" w:hAnsi="Times New Roman" w:cs="Times New Roman"/>
          <w:sz w:val="24"/>
          <w:szCs w:val="24"/>
        </w:rPr>
        <w:t xml:space="preserve"> on article 9 of </w:t>
      </w:r>
      <w:r w:rsidR="00E03C28" w:rsidRPr="007F3B63">
        <w:rPr>
          <w:rFonts w:ascii="Times New Roman" w:hAnsi="Times New Roman" w:cs="Times New Roman"/>
          <w:sz w:val="24"/>
          <w:szCs w:val="24"/>
        </w:rPr>
        <w:t>ICCPR</w:t>
      </w:r>
      <w:r w:rsidRPr="007F3B63">
        <w:rPr>
          <w:rFonts w:ascii="Times New Roman" w:hAnsi="Times New Roman" w:cs="Times New Roman"/>
          <w:sz w:val="24"/>
          <w:szCs w:val="24"/>
        </w:rPr>
        <w:t xml:space="preserve"> clearly states that the pre-trial detention of person in custody should be an exception rather than a </w:t>
      </w:r>
      <w:r w:rsidR="003079E8" w:rsidRPr="007F3B63">
        <w:rPr>
          <w:rFonts w:ascii="Times New Roman" w:hAnsi="Times New Roman" w:cs="Times New Roman"/>
          <w:sz w:val="24"/>
          <w:szCs w:val="24"/>
        </w:rPr>
        <w:t>rule;</w:t>
      </w:r>
      <w:r w:rsidRPr="007F3B63">
        <w:rPr>
          <w:rFonts w:ascii="Times New Roman" w:hAnsi="Times New Roman" w:cs="Times New Roman"/>
          <w:sz w:val="24"/>
          <w:szCs w:val="24"/>
        </w:rPr>
        <w:t xml:space="preserve"> it must be used only as a last resort when all other options during the investigation are exhausted. </w:t>
      </w:r>
      <w:r w:rsidR="003079E8" w:rsidRPr="007F3B63">
        <w:rPr>
          <w:rFonts w:ascii="Times New Roman" w:hAnsi="Times New Roman" w:cs="Times New Roman"/>
          <w:sz w:val="24"/>
          <w:szCs w:val="24"/>
        </w:rPr>
        <w:t xml:space="preserve">The detention must be reasonable and necessary which takes into account all the circumstances such as to prevent recurrence of offence, tampering with the evidence etc. further the relevant should be specified in law and should not include vague and expansive standards such as “public security”. </w:t>
      </w:r>
      <w:r w:rsidR="00E03C28" w:rsidRPr="007F3B63">
        <w:rPr>
          <w:rFonts w:ascii="Times New Roman" w:hAnsi="Times New Roman" w:cs="Times New Roman"/>
          <w:sz w:val="24"/>
          <w:szCs w:val="24"/>
        </w:rPr>
        <w:t xml:space="preserve"> </w:t>
      </w:r>
    </w:p>
    <w:p w14:paraId="442AA4C9" w14:textId="77777777" w:rsidR="00375A80" w:rsidRPr="007F3B63" w:rsidRDefault="00C90F3A" w:rsidP="007F3B63">
      <w:pPr>
        <w:spacing w:line="360" w:lineRule="auto"/>
        <w:rPr>
          <w:rFonts w:ascii="Times New Roman" w:hAnsi="Times New Roman" w:cs="Times New Roman"/>
          <w:color w:val="000000" w:themeColor="text1"/>
          <w:sz w:val="24"/>
          <w:szCs w:val="24"/>
        </w:rPr>
      </w:pPr>
      <w:r w:rsidRPr="007F3B63">
        <w:rPr>
          <w:rFonts w:ascii="Times New Roman" w:hAnsi="Times New Roman" w:cs="Times New Roman"/>
          <w:color w:val="000000" w:themeColor="text1"/>
          <w:sz w:val="24"/>
          <w:szCs w:val="24"/>
        </w:rPr>
        <w:lastRenderedPageBreak/>
        <w:t xml:space="preserve">Under </w:t>
      </w:r>
      <w:proofErr w:type="spellStart"/>
      <w:r w:rsidRPr="007F3B63">
        <w:rPr>
          <w:rFonts w:ascii="Times New Roman" w:hAnsi="Times New Roman" w:cs="Times New Roman"/>
          <w:color w:val="000000" w:themeColor="text1"/>
          <w:sz w:val="24"/>
          <w:szCs w:val="24"/>
        </w:rPr>
        <w:t>Cr</w:t>
      </w:r>
      <w:r w:rsidR="006A4449" w:rsidRPr="007F3B63">
        <w:rPr>
          <w:rFonts w:ascii="Times New Roman" w:hAnsi="Times New Roman" w:cs="Times New Roman"/>
          <w:color w:val="000000" w:themeColor="text1"/>
          <w:sz w:val="24"/>
          <w:szCs w:val="24"/>
        </w:rPr>
        <w:t>.</w:t>
      </w:r>
      <w:r w:rsidRPr="007F3B63">
        <w:rPr>
          <w:rFonts w:ascii="Times New Roman" w:hAnsi="Times New Roman" w:cs="Times New Roman"/>
          <w:color w:val="000000" w:themeColor="text1"/>
          <w:sz w:val="24"/>
          <w:szCs w:val="24"/>
        </w:rPr>
        <w:t>P</w:t>
      </w:r>
      <w:r w:rsidR="006A4449" w:rsidRPr="007F3B63">
        <w:rPr>
          <w:rFonts w:ascii="Times New Roman" w:hAnsi="Times New Roman" w:cs="Times New Roman"/>
          <w:color w:val="000000" w:themeColor="text1"/>
          <w:sz w:val="24"/>
          <w:szCs w:val="24"/>
        </w:rPr>
        <w:t>.</w:t>
      </w:r>
      <w:r w:rsidRPr="007F3B63">
        <w:rPr>
          <w:rFonts w:ascii="Times New Roman" w:hAnsi="Times New Roman" w:cs="Times New Roman"/>
          <w:color w:val="000000" w:themeColor="text1"/>
          <w:sz w:val="24"/>
          <w:szCs w:val="24"/>
        </w:rPr>
        <w:t>C</w:t>
      </w:r>
      <w:proofErr w:type="spellEnd"/>
      <w:r w:rsidR="006A4449" w:rsidRPr="007F3B63">
        <w:rPr>
          <w:rFonts w:ascii="Times New Roman" w:hAnsi="Times New Roman" w:cs="Times New Roman"/>
          <w:color w:val="000000" w:themeColor="text1"/>
          <w:sz w:val="24"/>
          <w:szCs w:val="24"/>
        </w:rPr>
        <w:t>.</w:t>
      </w:r>
      <w:r w:rsidRPr="007F3B63">
        <w:rPr>
          <w:rFonts w:ascii="Times New Roman" w:hAnsi="Times New Roman" w:cs="Times New Roman"/>
          <w:color w:val="000000" w:themeColor="text1"/>
          <w:sz w:val="24"/>
          <w:szCs w:val="24"/>
        </w:rPr>
        <w:t xml:space="preserve"> i</w:t>
      </w:r>
      <w:r w:rsidR="00375A80" w:rsidRPr="007F3B63">
        <w:rPr>
          <w:rFonts w:ascii="Times New Roman" w:hAnsi="Times New Roman" w:cs="Times New Roman"/>
          <w:color w:val="000000" w:themeColor="text1"/>
          <w:sz w:val="24"/>
          <w:szCs w:val="24"/>
        </w:rPr>
        <w:t xml:space="preserve">t has been specifically provided that no Magistrate shall </w:t>
      </w:r>
      <w:r w:rsidRPr="007F3B63">
        <w:rPr>
          <w:rFonts w:ascii="Times New Roman" w:hAnsi="Times New Roman" w:cs="Times New Roman"/>
          <w:color w:val="000000" w:themeColor="text1"/>
          <w:sz w:val="24"/>
          <w:szCs w:val="24"/>
        </w:rPr>
        <w:t>authorize</w:t>
      </w:r>
      <w:r w:rsidR="00375A80" w:rsidRPr="007F3B63">
        <w:rPr>
          <w:rFonts w:ascii="Times New Roman" w:hAnsi="Times New Roman" w:cs="Times New Roman"/>
          <w:color w:val="000000" w:themeColor="text1"/>
          <w:sz w:val="24"/>
          <w:szCs w:val="24"/>
        </w:rPr>
        <w:t xml:space="preserve"> detention in any custody under Section 167 unless the accused is produced before him.</w:t>
      </w:r>
      <w:r w:rsidR="00375A80" w:rsidRPr="007F3B63">
        <w:rPr>
          <w:rStyle w:val="FootnoteReference"/>
          <w:rFonts w:ascii="Times New Roman" w:hAnsi="Times New Roman" w:cs="Times New Roman"/>
          <w:color w:val="000000" w:themeColor="text1"/>
          <w:sz w:val="24"/>
          <w:szCs w:val="24"/>
        </w:rPr>
        <w:footnoteReference w:id="18"/>
      </w:r>
      <w:r w:rsidR="00375A80" w:rsidRPr="007F3B63">
        <w:rPr>
          <w:rFonts w:ascii="Times New Roman" w:hAnsi="Times New Roman" w:cs="Times New Roman"/>
          <w:color w:val="000000" w:themeColor="text1"/>
          <w:sz w:val="24"/>
          <w:szCs w:val="24"/>
        </w:rPr>
        <w:t xml:space="preserve"> The object of requiring the accused to be produced before the Magistrate is to enable the Magistrate to decide judicially whether remand is necessary and also to enable the accused to make any representation to the Magistrate to controvert the grounds on which the police officer has asked for remand.</w:t>
      </w:r>
      <w:r w:rsidR="00375A80" w:rsidRPr="007F3B63">
        <w:rPr>
          <w:rStyle w:val="FootnoteReference"/>
          <w:rFonts w:ascii="Times New Roman" w:hAnsi="Times New Roman" w:cs="Times New Roman"/>
          <w:color w:val="000000" w:themeColor="text1"/>
          <w:sz w:val="24"/>
          <w:szCs w:val="24"/>
        </w:rPr>
        <w:footnoteReference w:id="19"/>
      </w:r>
      <w:r w:rsidR="00BA66ED" w:rsidRPr="007F3B63">
        <w:rPr>
          <w:rFonts w:ascii="Times New Roman" w:hAnsi="Times New Roman" w:cs="Times New Roman"/>
          <w:color w:val="000000" w:themeColor="text1"/>
          <w:sz w:val="24"/>
          <w:szCs w:val="24"/>
        </w:rPr>
        <w:t xml:space="preserve"> </w:t>
      </w:r>
    </w:p>
    <w:p w14:paraId="330092B4" w14:textId="77777777" w:rsidR="00801C44" w:rsidRPr="007F3B63" w:rsidRDefault="00375A80"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 xml:space="preserve">In the case of </w:t>
      </w:r>
      <w:r w:rsidR="00D268C0" w:rsidRPr="007F3B63">
        <w:rPr>
          <w:rFonts w:ascii="Times New Roman" w:hAnsi="Times New Roman" w:cs="Times New Roman"/>
          <w:bCs/>
          <w:i/>
          <w:iCs/>
          <w:sz w:val="24"/>
          <w:szCs w:val="24"/>
          <w:lang w:bidi="hi-IN"/>
        </w:rPr>
        <w:t>Manubhai</w:t>
      </w:r>
      <w:r w:rsidRPr="007F3B63">
        <w:rPr>
          <w:rFonts w:ascii="Times New Roman" w:hAnsi="Times New Roman" w:cs="Times New Roman"/>
          <w:bCs/>
          <w:i/>
          <w:iCs/>
          <w:sz w:val="24"/>
          <w:szCs w:val="24"/>
          <w:lang w:bidi="hi-IN"/>
        </w:rPr>
        <w:t xml:space="preserve"> </w:t>
      </w:r>
      <w:proofErr w:type="spellStart"/>
      <w:r w:rsidRPr="007F3B63">
        <w:rPr>
          <w:rFonts w:ascii="Times New Roman" w:hAnsi="Times New Roman" w:cs="Times New Roman"/>
          <w:bCs/>
          <w:i/>
          <w:iCs/>
          <w:sz w:val="24"/>
          <w:szCs w:val="24"/>
          <w:lang w:bidi="hi-IN"/>
        </w:rPr>
        <w:t>Ratilal</w:t>
      </w:r>
      <w:proofErr w:type="spellEnd"/>
      <w:r w:rsidRPr="007F3B63">
        <w:rPr>
          <w:rFonts w:ascii="Times New Roman" w:hAnsi="Times New Roman" w:cs="Times New Roman"/>
          <w:bCs/>
          <w:i/>
          <w:iCs/>
          <w:sz w:val="24"/>
          <w:szCs w:val="24"/>
          <w:lang w:bidi="hi-IN"/>
        </w:rPr>
        <w:t xml:space="preserve"> Patel</w:t>
      </w:r>
      <w:r w:rsidRPr="007F3B63">
        <w:rPr>
          <w:rFonts w:ascii="Times New Roman" w:hAnsi="Times New Roman" w:cs="Times New Roman"/>
          <w:bCs/>
          <w:sz w:val="24"/>
          <w:szCs w:val="24"/>
          <w:lang w:bidi="hi-IN"/>
        </w:rPr>
        <w:t xml:space="preserve"> v. </w:t>
      </w:r>
      <w:r w:rsidRPr="007F3B63">
        <w:rPr>
          <w:rFonts w:ascii="Times New Roman" w:hAnsi="Times New Roman" w:cs="Times New Roman"/>
          <w:bCs/>
          <w:i/>
          <w:iCs/>
          <w:sz w:val="24"/>
          <w:szCs w:val="24"/>
          <w:lang w:bidi="hi-IN"/>
        </w:rPr>
        <w:t>State of Guj</w:t>
      </w:r>
      <w:r w:rsidR="000353E6" w:rsidRPr="007F3B63">
        <w:rPr>
          <w:rFonts w:ascii="Times New Roman" w:hAnsi="Times New Roman" w:cs="Times New Roman"/>
          <w:bCs/>
          <w:i/>
          <w:iCs/>
          <w:sz w:val="24"/>
          <w:szCs w:val="24"/>
          <w:lang w:bidi="hi-IN"/>
        </w:rPr>
        <w:t>a</w:t>
      </w:r>
      <w:r w:rsidRPr="007F3B63">
        <w:rPr>
          <w:rFonts w:ascii="Times New Roman" w:hAnsi="Times New Roman" w:cs="Times New Roman"/>
          <w:bCs/>
          <w:i/>
          <w:iCs/>
          <w:sz w:val="24"/>
          <w:szCs w:val="24"/>
          <w:lang w:bidi="hi-IN"/>
        </w:rPr>
        <w:t>rat and others</w:t>
      </w:r>
      <w:r w:rsidRPr="007F3B63">
        <w:rPr>
          <w:rFonts w:ascii="Times New Roman" w:hAnsi="Times New Roman" w:cs="Times New Roman"/>
          <w:bCs/>
          <w:sz w:val="24"/>
          <w:szCs w:val="24"/>
          <w:lang w:bidi="hi-IN"/>
        </w:rPr>
        <w:t>,</w:t>
      </w:r>
      <w:r w:rsidRPr="007F3B63">
        <w:rPr>
          <w:rStyle w:val="FootnoteReference"/>
          <w:rFonts w:ascii="Times New Roman" w:hAnsi="Times New Roman" w:cs="Times New Roman"/>
          <w:bCs/>
          <w:sz w:val="24"/>
          <w:szCs w:val="24"/>
          <w:lang w:bidi="hi-IN"/>
        </w:rPr>
        <w:footnoteReference w:id="20"/>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Hon'ble Apex Court observed that,</w:t>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remand is a fundamental judicial function of the Magistrate. While</w:t>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performing this judicial function, Magistrate has to satisfy himself that</w:t>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there are reasonable grounds therefor and that materials placed before</w:t>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him justify remand of accused. While remanding accused it is obligatory on part of Magistrate to apply his mind to facts and not to pass remand order automatically or in a mechanical manner.</w:t>
      </w:r>
      <w:r w:rsidR="007D1BAD" w:rsidRPr="007F3B63">
        <w:rPr>
          <w:rFonts w:ascii="Times New Roman" w:hAnsi="Times New Roman" w:cs="Times New Roman"/>
          <w:sz w:val="24"/>
          <w:szCs w:val="24"/>
          <w:lang w:bidi="hi-IN"/>
        </w:rPr>
        <w:t xml:space="preserve"> Thus an investigating officer can ask for remand only when there are grounds for believing that the accusation or information is well founded and it appears that the investigation cannot be completed within the period of 24 hours.</w:t>
      </w:r>
      <w:r w:rsidR="007D1BAD" w:rsidRPr="007F3B63">
        <w:rPr>
          <w:rStyle w:val="FootnoteReference"/>
          <w:rFonts w:ascii="Times New Roman" w:hAnsi="Times New Roman" w:cs="Times New Roman"/>
          <w:sz w:val="24"/>
          <w:szCs w:val="24"/>
          <w:lang w:bidi="hi-IN"/>
        </w:rPr>
        <w:footnoteReference w:id="21"/>
      </w:r>
      <w:r w:rsidR="00C73B01" w:rsidRPr="007F3B63">
        <w:rPr>
          <w:rFonts w:ascii="Times New Roman" w:hAnsi="Times New Roman" w:cs="Times New Roman"/>
          <w:sz w:val="24"/>
          <w:szCs w:val="24"/>
          <w:lang w:bidi="hi-IN"/>
        </w:rPr>
        <w:t xml:space="preserve"> </w:t>
      </w:r>
    </w:p>
    <w:p w14:paraId="3808DB82" w14:textId="77777777" w:rsidR="005524B3" w:rsidRPr="007F3B63" w:rsidRDefault="005524B3" w:rsidP="007F3B63">
      <w:pPr>
        <w:spacing w:line="360" w:lineRule="auto"/>
        <w:rPr>
          <w:rFonts w:ascii="Times New Roman" w:hAnsi="Times New Roman" w:cs="Times New Roman"/>
          <w:sz w:val="24"/>
          <w:szCs w:val="24"/>
          <w:lang w:bidi="hi-IN"/>
        </w:rPr>
      </w:pPr>
    </w:p>
    <w:p w14:paraId="46D9D514" w14:textId="77777777" w:rsidR="00801C44" w:rsidRPr="007F3B63" w:rsidRDefault="00801C44"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 xml:space="preserve">But the apex court in </w:t>
      </w:r>
      <w:proofErr w:type="spellStart"/>
      <w:r w:rsidRPr="007F3B63">
        <w:rPr>
          <w:rFonts w:ascii="Times New Roman" w:hAnsi="Times New Roman" w:cs="Times New Roman"/>
          <w:i/>
          <w:sz w:val="24"/>
          <w:szCs w:val="24"/>
          <w:lang w:bidi="hi-IN"/>
        </w:rPr>
        <w:t>Kanti</w:t>
      </w:r>
      <w:proofErr w:type="spellEnd"/>
      <w:r w:rsidRPr="007F3B63">
        <w:rPr>
          <w:rFonts w:ascii="Times New Roman" w:hAnsi="Times New Roman" w:cs="Times New Roman"/>
          <w:i/>
          <w:sz w:val="24"/>
          <w:szCs w:val="24"/>
          <w:lang w:bidi="hi-IN"/>
        </w:rPr>
        <w:t xml:space="preserve"> Bhadra Shah and Another v. State </w:t>
      </w:r>
      <w:proofErr w:type="gramStart"/>
      <w:r w:rsidRPr="007F3B63">
        <w:rPr>
          <w:rFonts w:ascii="Times New Roman" w:hAnsi="Times New Roman" w:cs="Times New Roman"/>
          <w:i/>
          <w:sz w:val="24"/>
          <w:szCs w:val="24"/>
          <w:lang w:bidi="hi-IN"/>
        </w:rPr>
        <w:t>Of</w:t>
      </w:r>
      <w:proofErr w:type="gramEnd"/>
      <w:r w:rsidRPr="007F3B63">
        <w:rPr>
          <w:rFonts w:ascii="Times New Roman" w:hAnsi="Times New Roman" w:cs="Times New Roman"/>
          <w:i/>
          <w:sz w:val="24"/>
          <w:szCs w:val="24"/>
          <w:lang w:bidi="hi-IN"/>
        </w:rPr>
        <w:t xml:space="preserve"> West Bengal</w:t>
      </w:r>
      <w:r w:rsidRPr="007F3B63">
        <w:rPr>
          <w:rStyle w:val="FootnoteReference"/>
          <w:rFonts w:ascii="Times New Roman" w:hAnsi="Times New Roman" w:cs="Times New Roman"/>
          <w:sz w:val="24"/>
          <w:szCs w:val="24"/>
          <w:lang w:bidi="hi-IN"/>
        </w:rPr>
        <w:footnoteReference w:id="22"/>
      </w:r>
      <w:r w:rsidRPr="007F3B63">
        <w:rPr>
          <w:rFonts w:ascii="Times New Roman" w:hAnsi="Times New Roman" w:cs="Times New Roman"/>
          <w:sz w:val="24"/>
          <w:szCs w:val="24"/>
          <w:lang w:bidi="hi-IN"/>
        </w:rPr>
        <w:t xml:space="preserve"> held that “it is quite unnecessary to write detailed orders at other stages, such as issuing process, remanding the accused to custody, framing of charges, passing over to next stages in the trial.” The court’s reasoning was that lower courts are already burdened with backlog of cases and if they have to write detailed interlocutory orders at every stage the situation will get more worsened.  </w:t>
      </w:r>
    </w:p>
    <w:p w14:paraId="2DD04BB7" w14:textId="77777777" w:rsidR="00801C44" w:rsidRPr="007F3B63" w:rsidRDefault="00801C44" w:rsidP="007F3B63">
      <w:pPr>
        <w:spacing w:line="360" w:lineRule="auto"/>
        <w:rPr>
          <w:rFonts w:ascii="Times New Roman" w:hAnsi="Times New Roman" w:cs="Times New Roman"/>
          <w:sz w:val="24"/>
          <w:szCs w:val="24"/>
          <w:lang w:bidi="hi-IN"/>
        </w:rPr>
      </w:pPr>
    </w:p>
    <w:p w14:paraId="0472092F" w14:textId="6F5B0301" w:rsidR="00A2373D" w:rsidRPr="007F3B63" w:rsidRDefault="00375A80"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lastRenderedPageBreak/>
        <w:t xml:space="preserve">The Hon'ble Supreme Court, has in the case of </w:t>
      </w:r>
      <w:proofErr w:type="spellStart"/>
      <w:r w:rsidRPr="007F3B63">
        <w:rPr>
          <w:rFonts w:ascii="Times New Roman" w:hAnsi="Times New Roman" w:cs="Times New Roman"/>
          <w:bCs/>
          <w:i/>
          <w:iCs/>
          <w:sz w:val="24"/>
          <w:szCs w:val="24"/>
          <w:lang w:bidi="hi-IN"/>
        </w:rPr>
        <w:t>Arnesh</w:t>
      </w:r>
      <w:proofErr w:type="spellEnd"/>
      <w:r w:rsidRPr="007F3B63">
        <w:rPr>
          <w:rFonts w:ascii="Times New Roman" w:hAnsi="Times New Roman" w:cs="Times New Roman"/>
          <w:bCs/>
          <w:i/>
          <w:iCs/>
          <w:sz w:val="24"/>
          <w:szCs w:val="24"/>
          <w:lang w:bidi="hi-IN"/>
        </w:rPr>
        <w:t xml:space="preserve"> Kumar </w:t>
      </w:r>
      <w:r w:rsidRPr="007F3B63">
        <w:rPr>
          <w:rFonts w:ascii="Times New Roman" w:hAnsi="Times New Roman" w:cs="Times New Roman"/>
          <w:bCs/>
          <w:sz w:val="24"/>
          <w:szCs w:val="24"/>
          <w:lang w:bidi="hi-IN"/>
        </w:rPr>
        <w:t xml:space="preserve">vs. </w:t>
      </w:r>
      <w:r w:rsidRPr="007F3B63">
        <w:rPr>
          <w:rFonts w:ascii="Times New Roman" w:hAnsi="Times New Roman" w:cs="Times New Roman"/>
          <w:bCs/>
          <w:i/>
          <w:iCs/>
          <w:sz w:val="24"/>
          <w:szCs w:val="24"/>
          <w:lang w:bidi="hi-IN"/>
        </w:rPr>
        <w:t>State of Bihar and another,</w:t>
      </w:r>
      <w:r w:rsidRPr="007F3B63">
        <w:rPr>
          <w:rStyle w:val="FootnoteReference"/>
          <w:rFonts w:ascii="Times New Roman" w:hAnsi="Times New Roman" w:cs="Times New Roman"/>
          <w:b/>
          <w:bCs/>
          <w:i/>
          <w:iCs/>
          <w:sz w:val="24"/>
          <w:szCs w:val="24"/>
          <w:lang w:bidi="hi-IN"/>
        </w:rPr>
        <w:footnoteReference w:id="23"/>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held as follows:</w:t>
      </w:r>
      <w:r w:rsidR="00D268C0" w:rsidRPr="007F3B63">
        <w:rPr>
          <w:rFonts w:ascii="Times New Roman" w:hAnsi="Times New Roman" w:cs="Times New Roman"/>
          <w:sz w:val="24"/>
          <w:szCs w:val="24"/>
          <w:lang w:bidi="hi-IN"/>
        </w:rPr>
        <w:t xml:space="preserve"> </w:t>
      </w:r>
      <w:r w:rsidRPr="007F3B63">
        <w:rPr>
          <w:rFonts w:ascii="Times New Roman" w:hAnsi="Times New Roman" w:cs="Times New Roman"/>
          <w:sz w:val="24"/>
          <w:szCs w:val="24"/>
          <w:lang w:bidi="hi-IN"/>
        </w:rPr>
        <w:t xml:space="preserve">“Our </w:t>
      </w:r>
      <w:proofErr w:type="spellStart"/>
      <w:r w:rsidRPr="007F3B63">
        <w:rPr>
          <w:rFonts w:ascii="Times New Roman" w:hAnsi="Times New Roman" w:cs="Times New Roman"/>
          <w:sz w:val="24"/>
          <w:szCs w:val="24"/>
          <w:lang w:bidi="hi-IN"/>
        </w:rPr>
        <w:t>endeavour</w:t>
      </w:r>
      <w:proofErr w:type="spellEnd"/>
      <w:r w:rsidRPr="007F3B63">
        <w:rPr>
          <w:rFonts w:ascii="Times New Roman" w:hAnsi="Times New Roman" w:cs="Times New Roman"/>
          <w:sz w:val="24"/>
          <w:szCs w:val="24"/>
          <w:lang w:bidi="hi-IN"/>
        </w:rPr>
        <w:t xml:space="preserve"> in this judgment is to ensure that police officers do not arrest accused unnecessarily and Magistrate do not authorize detention casually and mechanically”.</w:t>
      </w:r>
      <w:r w:rsidR="005A331E" w:rsidRPr="007F3B63">
        <w:rPr>
          <w:rFonts w:ascii="Times New Roman" w:hAnsi="Times New Roman" w:cs="Times New Roman"/>
          <w:sz w:val="24"/>
          <w:szCs w:val="24"/>
          <w:lang w:bidi="hi-IN"/>
        </w:rPr>
        <w:t xml:space="preserve"> </w:t>
      </w:r>
      <w:r w:rsidR="005524B3" w:rsidRPr="007F3B63">
        <w:rPr>
          <w:rFonts w:ascii="Times New Roman" w:hAnsi="Times New Roman" w:cs="Times New Roman"/>
          <w:sz w:val="24"/>
          <w:szCs w:val="24"/>
          <w:lang w:bidi="hi-IN"/>
        </w:rPr>
        <w:t>Thus t</w:t>
      </w:r>
      <w:r w:rsidR="00D45E9A" w:rsidRPr="007F3B63">
        <w:rPr>
          <w:rFonts w:ascii="Times New Roman" w:hAnsi="Times New Roman" w:cs="Times New Roman"/>
          <w:sz w:val="24"/>
          <w:szCs w:val="24"/>
          <w:lang w:bidi="hi-IN"/>
        </w:rPr>
        <w:t>he order authorizing the detention of the accused in the custody is a judicial order and it has to be passed after applying the judicial mind. In any way it does not amount to interference with the investigation of the case.</w:t>
      </w:r>
      <w:r w:rsidR="00D45E9A" w:rsidRPr="007F3B63">
        <w:rPr>
          <w:rStyle w:val="FootnoteReference"/>
          <w:rFonts w:ascii="Times New Roman" w:hAnsi="Times New Roman" w:cs="Times New Roman"/>
          <w:sz w:val="24"/>
          <w:szCs w:val="24"/>
          <w:lang w:bidi="hi-IN"/>
        </w:rPr>
        <w:footnoteReference w:id="24"/>
      </w:r>
      <w:r w:rsidR="00D45E9A" w:rsidRPr="007F3B63">
        <w:rPr>
          <w:rFonts w:ascii="Times New Roman" w:hAnsi="Times New Roman" w:cs="Times New Roman"/>
          <w:sz w:val="24"/>
          <w:szCs w:val="24"/>
          <w:lang w:bidi="hi-IN"/>
        </w:rPr>
        <w:t xml:space="preserve"> </w:t>
      </w:r>
      <w:r w:rsidR="007D1BAD" w:rsidRPr="007F3B63">
        <w:rPr>
          <w:rFonts w:ascii="Times New Roman" w:hAnsi="Times New Roman" w:cs="Times New Roman"/>
          <w:sz w:val="24"/>
          <w:szCs w:val="24"/>
          <w:lang w:bidi="hi-IN"/>
        </w:rPr>
        <w:t xml:space="preserve"> </w:t>
      </w:r>
    </w:p>
    <w:p w14:paraId="44B01564" w14:textId="562FF5C9" w:rsidR="007A5F9F" w:rsidRPr="007F3B63" w:rsidRDefault="00562532"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4</w:t>
      </w:r>
      <w:r w:rsidR="005524B3" w:rsidRPr="007F3B63">
        <w:rPr>
          <w:rFonts w:ascii="Times New Roman" w:hAnsi="Times New Roman" w:cs="Times New Roman"/>
          <w:sz w:val="24"/>
          <w:szCs w:val="24"/>
        </w:rPr>
        <w:t xml:space="preserve">. </w:t>
      </w:r>
      <w:r w:rsidR="007A5F9F" w:rsidRPr="007F3B63">
        <w:rPr>
          <w:rFonts w:ascii="Times New Roman" w:hAnsi="Times New Roman" w:cs="Times New Roman"/>
          <w:sz w:val="24"/>
          <w:szCs w:val="24"/>
        </w:rPr>
        <w:t xml:space="preserve">Right </w:t>
      </w:r>
      <w:r w:rsidR="00A2373D" w:rsidRPr="007F3B63">
        <w:rPr>
          <w:rFonts w:ascii="Times New Roman" w:hAnsi="Times New Roman" w:cs="Times New Roman"/>
          <w:sz w:val="24"/>
          <w:szCs w:val="24"/>
        </w:rPr>
        <w:t>to be protected against torture other cruel,</w:t>
      </w:r>
      <w:r w:rsidR="007A5F9F" w:rsidRPr="007F3B63">
        <w:rPr>
          <w:rFonts w:ascii="Times New Roman" w:hAnsi="Times New Roman" w:cs="Times New Roman"/>
          <w:sz w:val="24"/>
          <w:szCs w:val="24"/>
        </w:rPr>
        <w:t xml:space="preserve"> inhuman and degrading treatment</w:t>
      </w:r>
    </w:p>
    <w:p w14:paraId="32317DB9" w14:textId="77777777"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mere thought of remand in the police custody is enough to generate the </w:t>
      </w:r>
      <w:proofErr w:type="gramStart"/>
      <w:r w:rsidRPr="007F3B63">
        <w:rPr>
          <w:rFonts w:ascii="Times New Roman" w:hAnsi="Times New Roman" w:cs="Times New Roman"/>
          <w:sz w:val="24"/>
          <w:szCs w:val="24"/>
        </w:rPr>
        <w:t>well founded</w:t>
      </w:r>
      <w:proofErr w:type="gramEnd"/>
      <w:r w:rsidRPr="007F3B63">
        <w:rPr>
          <w:rFonts w:ascii="Times New Roman" w:hAnsi="Times New Roman" w:cs="Times New Roman"/>
          <w:sz w:val="24"/>
          <w:szCs w:val="24"/>
        </w:rPr>
        <w:t xml:space="preserve"> fear of being tortured by the police authorities in the mind of the accused. Police custody is a place </w:t>
      </w:r>
      <w:proofErr w:type="gramStart"/>
      <w:r w:rsidRPr="007F3B63">
        <w:rPr>
          <w:rFonts w:ascii="Times New Roman" w:hAnsi="Times New Roman" w:cs="Times New Roman"/>
          <w:sz w:val="24"/>
          <w:szCs w:val="24"/>
        </w:rPr>
        <w:t>where</w:t>
      </w:r>
      <w:proofErr w:type="gramEnd"/>
      <w:r w:rsidRPr="007F3B63">
        <w:rPr>
          <w:rFonts w:ascii="Times New Roman" w:hAnsi="Times New Roman" w:cs="Times New Roman"/>
          <w:sz w:val="24"/>
          <w:szCs w:val="24"/>
        </w:rPr>
        <w:t xml:space="preserve"> accused when send on remand may have to go through immense police atrocities as a part of the investigation process. These atrocities within its ambit include wide range of hardships for the accused in the form of both physical as well as mental injuries for a long period of time. There are numerous movies and documentaries made on the issue of police torture which is enough to show a glimpse of the level of atrocities the accused has to go through while he is on remand. </w:t>
      </w:r>
    </w:p>
    <w:p w14:paraId="2FB10304" w14:textId="77777777" w:rsidR="0099763D" w:rsidRPr="007F3B63" w:rsidRDefault="0099763D"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The importance of this right can be ascertained through the recommendation Of National Commission to Review the working of the Constitution (2002) which was set up by the Law Ministry, it specifically recommended for ‘prohibition of torture and cruel, inhuman or degrading treatment or punishment’ as one of the additions to the fundamental rights chapter as Article 21(2) on the basis of the dicta laid down in various Supreme Court judgments in recognition of torture in our constitutional jurisprudence.</w:t>
      </w:r>
      <w:r w:rsidR="008216E8" w:rsidRPr="007F3B63">
        <w:rPr>
          <w:rStyle w:val="FootnoteReference"/>
          <w:rFonts w:ascii="Times New Roman" w:hAnsi="Times New Roman" w:cs="Times New Roman"/>
          <w:sz w:val="24"/>
          <w:szCs w:val="24"/>
        </w:rPr>
        <w:footnoteReference w:id="25"/>
      </w:r>
    </w:p>
    <w:p w14:paraId="34CD7E01" w14:textId="77777777" w:rsidR="0099763D" w:rsidRPr="007F3B63" w:rsidRDefault="0099763D" w:rsidP="007F3B63">
      <w:pPr>
        <w:spacing w:line="360" w:lineRule="auto"/>
        <w:rPr>
          <w:rFonts w:ascii="Times New Roman" w:hAnsi="Times New Roman" w:cs="Times New Roman"/>
          <w:sz w:val="24"/>
          <w:szCs w:val="24"/>
        </w:rPr>
      </w:pPr>
    </w:p>
    <w:p w14:paraId="0A28AAB2" w14:textId="08F4FE49"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In </w:t>
      </w:r>
      <w:r w:rsidRPr="007F3B63">
        <w:rPr>
          <w:rFonts w:ascii="Times New Roman" w:hAnsi="Times New Roman" w:cs="Times New Roman"/>
          <w:i/>
          <w:sz w:val="24"/>
          <w:szCs w:val="24"/>
        </w:rPr>
        <w:t xml:space="preserve">D.K. </w:t>
      </w:r>
      <w:proofErr w:type="spellStart"/>
      <w:r w:rsidRPr="007F3B63">
        <w:rPr>
          <w:rFonts w:ascii="Times New Roman" w:hAnsi="Times New Roman" w:cs="Times New Roman"/>
          <w:i/>
          <w:sz w:val="24"/>
          <w:szCs w:val="24"/>
        </w:rPr>
        <w:t>Basu</w:t>
      </w:r>
      <w:proofErr w:type="spellEnd"/>
      <w:r w:rsidRPr="007F3B63">
        <w:rPr>
          <w:rFonts w:ascii="Times New Roman" w:hAnsi="Times New Roman" w:cs="Times New Roman"/>
          <w:i/>
          <w:sz w:val="24"/>
          <w:szCs w:val="24"/>
        </w:rPr>
        <w:t xml:space="preserve"> v. State of West Benga</w:t>
      </w:r>
      <w:r w:rsidR="006C3278" w:rsidRPr="007F3B63">
        <w:rPr>
          <w:rFonts w:ascii="Times New Roman" w:hAnsi="Times New Roman" w:cs="Times New Roman"/>
          <w:i/>
          <w:sz w:val="24"/>
          <w:szCs w:val="24"/>
        </w:rPr>
        <w:t>l</w:t>
      </w:r>
      <w:r w:rsidRPr="007F3B63">
        <w:rPr>
          <w:rFonts w:ascii="Times New Roman" w:hAnsi="Times New Roman" w:cs="Times New Roman"/>
          <w:sz w:val="24"/>
          <w:szCs w:val="24"/>
        </w:rPr>
        <w:t xml:space="preserve"> the Supreme Court observed that: “</w:t>
      </w:r>
      <w:r w:rsidRPr="007F3B63">
        <w:rPr>
          <w:rFonts w:ascii="Times New Roman" w:hAnsi="Times New Roman" w:cs="Times New Roman"/>
          <w:i/>
          <w:sz w:val="24"/>
          <w:szCs w:val="24"/>
        </w:rPr>
        <w:t>Torture has not been defined in the Const</w:t>
      </w:r>
      <w:r w:rsidR="006C3278" w:rsidRPr="007F3B63">
        <w:rPr>
          <w:rFonts w:ascii="Times New Roman" w:hAnsi="Times New Roman" w:cs="Times New Roman"/>
          <w:i/>
          <w:sz w:val="24"/>
          <w:szCs w:val="24"/>
        </w:rPr>
        <w:t xml:space="preserve">itution or in other penal laws. </w:t>
      </w:r>
      <w:r w:rsidRPr="007F3B63">
        <w:rPr>
          <w:rFonts w:ascii="Times New Roman" w:hAnsi="Times New Roman" w:cs="Times New Roman"/>
          <w:i/>
          <w:sz w:val="24"/>
          <w:szCs w:val="24"/>
        </w:rPr>
        <w:t xml:space="preserve">'Torture' of a human being by another human </w:t>
      </w:r>
      <w:r w:rsidRPr="007F3B63">
        <w:rPr>
          <w:rFonts w:ascii="Times New Roman" w:hAnsi="Times New Roman" w:cs="Times New Roman"/>
          <w:i/>
          <w:sz w:val="24"/>
          <w:szCs w:val="24"/>
        </w:rPr>
        <w:lastRenderedPageBreak/>
        <w:t xml:space="preserve">being is essentially an instrument to impose the will of the 'strong' over the 'weak' by suffering. The word torture today has become synonymous with the darker side of the human </w:t>
      </w:r>
      <w:proofErr w:type="spellStart"/>
      <w:r w:rsidRPr="007F3B63">
        <w:rPr>
          <w:rFonts w:ascii="Times New Roman" w:hAnsi="Times New Roman" w:cs="Times New Roman"/>
          <w:i/>
          <w:sz w:val="24"/>
          <w:szCs w:val="24"/>
        </w:rPr>
        <w:t>civilisation</w:t>
      </w:r>
      <w:proofErr w:type="spellEnd"/>
      <w:r w:rsidRPr="007F3B63">
        <w:rPr>
          <w:rFonts w:ascii="Times New Roman" w:hAnsi="Times New Roman" w:cs="Times New Roman"/>
          <w:sz w:val="24"/>
          <w:szCs w:val="24"/>
        </w:rPr>
        <w:t>”.</w:t>
      </w:r>
      <w:r w:rsidR="006C3278" w:rsidRPr="007F3B63">
        <w:rPr>
          <w:rStyle w:val="FootnoteReference"/>
          <w:rFonts w:ascii="Times New Roman" w:hAnsi="Times New Roman" w:cs="Times New Roman"/>
          <w:sz w:val="24"/>
          <w:szCs w:val="24"/>
        </w:rPr>
        <w:footnoteReference w:id="26"/>
      </w:r>
    </w:p>
    <w:p w14:paraId="552925CF" w14:textId="77777777"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The right to liberty and security guaranteed by article 9 </w:t>
      </w:r>
      <w:r w:rsidR="006C3278" w:rsidRPr="007F3B63">
        <w:rPr>
          <w:rFonts w:ascii="Times New Roman" w:hAnsi="Times New Roman" w:cs="Times New Roman"/>
          <w:sz w:val="24"/>
          <w:szCs w:val="24"/>
        </w:rPr>
        <w:t xml:space="preserve">of ICCPR </w:t>
      </w:r>
      <w:r w:rsidRPr="007F3B63">
        <w:rPr>
          <w:rFonts w:ascii="Times New Roman" w:hAnsi="Times New Roman" w:cs="Times New Roman"/>
          <w:sz w:val="24"/>
          <w:szCs w:val="24"/>
        </w:rPr>
        <w:t>has much wider scope, the right to security of person protects individuals against intentional infliction of bodily or mental injury, regardless of whether the victim is detained or non-detained. For example, officials of States parties violate the right to personal security when they unjustifiably inflict bodily injury.</w:t>
      </w:r>
      <w:r w:rsidRPr="007F3B63">
        <w:rPr>
          <w:rStyle w:val="FootnoteReference"/>
          <w:rFonts w:ascii="Times New Roman" w:hAnsi="Times New Roman" w:cs="Times New Roman"/>
          <w:sz w:val="24"/>
          <w:szCs w:val="24"/>
        </w:rPr>
        <w:footnoteReference w:id="27"/>
      </w:r>
      <w:r w:rsidRPr="007F3B63">
        <w:rPr>
          <w:rFonts w:ascii="Times New Roman" w:hAnsi="Times New Roman" w:cs="Times New Roman"/>
          <w:sz w:val="24"/>
          <w:szCs w:val="24"/>
        </w:rPr>
        <w:t>An arrest or detention may be authorized by domestic law and nonetheless be arbitrary. The notion of “arbitrariness” is not to be equated with “against the law”, but must be interpreted more broadly to include elements of inappropriateness, injustice, lack of predictability and due process of law, as well as elements of reasonableness, necessity and proportionality. For example, remand in custody on criminal charges must be reasonable and necessary in all the circumstances.</w:t>
      </w:r>
      <w:r w:rsidRPr="007F3B63">
        <w:rPr>
          <w:rStyle w:val="FootnoteReference"/>
          <w:rFonts w:ascii="Times New Roman" w:hAnsi="Times New Roman" w:cs="Times New Roman"/>
          <w:sz w:val="24"/>
          <w:szCs w:val="24"/>
        </w:rPr>
        <w:footnoteReference w:id="28"/>
      </w:r>
      <w:r w:rsidRPr="007F3B63">
        <w:rPr>
          <w:rFonts w:ascii="Times New Roman" w:hAnsi="Times New Roman" w:cs="Times New Roman"/>
          <w:sz w:val="24"/>
          <w:szCs w:val="24"/>
        </w:rPr>
        <w:t xml:space="preserve"> </w:t>
      </w:r>
      <w:r w:rsidR="00562532" w:rsidRPr="007F3B63">
        <w:rPr>
          <w:rFonts w:ascii="Times New Roman" w:hAnsi="Times New Roman" w:cs="Times New Roman"/>
          <w:sz w:val="24"/>
          <w:szCs w:val="24"/>
        </w:rPr>
        <w:t xml:space="preserve"> </w:t>
      </w:r>
    </w:p>
    <w:p w14:paraId="269C6A6A" w14:textId="77777777"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The human rights committee further explains “unlawful” detention as something which is incompatible with both the domestic law as well as article 9 para 1 or with other relevant provisions of the covenant. Article 7 of ICCPR prohibits torture, cruel, inhuman and degrading treatment of any person, its aim is to protect both the dignity and the physical and mental integrity of the individual. The text of this article offers no limitation as it prohibits torture under any circumstances as it is a part of non-</w:t>
      </w:r>
      <w:proofErr w:type="spellStart"/>
      <w:r w:rsidRPr="007F3B63">
        <w:rPr>
          <w:rFonts w:ascii="Times New Roman" w:hAnsi="Times New Roman" w:cs="Times New Roman"/>
          <w:sz w:val="24"/>
          <w:szCs w:val="24"/>
        </w:rPr>
        <w:t>derogable</w:t>
      </w:r>
      <w:proofErr w:type="spellEnd"/>
      <w:r w:rsidRPr="007F3B63">
        <w:rPr>
          <w:rFonts w:ascii="Times New Roman" w:hAnsi="Times New Roman" w:cs="Times New Roman"/>
          <w:sz w:val="24"/>
          <w:szCs w:val="24"/>
        </w:rPr>
        <w:t xml:space="preserve"> right under article 4 of the convention. Thus state under no circumstances can derogate from this right available to the accused on remand. Article 10, paragraph 1, imposes on States parties a positive obligation towards persons who are particularly vulnerable because of their status as persons deprived of liberty, and complements </w:t>
      </w:r>
      <w:r w:rsidRPr="007F3B63">
        <w:rPr>
          <w:rFonts w:ascii="Times New Roman" w:hAnsi="Times New Roman" w:cs="Times New Roman"/>
          <w:sz w:val="24"/>
          <w:szCs w:val="24"/>
        </w:rPr>
        <w:lastRenderedPageBreak/>
        <w:t>for them the ban on torture or other cruel, inhuman or degrading treatment or punishment contained in article 7 of the Covenant.</w:t>
      </w:r>
      <w:r w:rsidRPr="007F3B63">
        <w:rPr>
          <w:rStyle w:val="FootnoteReference"/>
          <w:rFonts w:ascii="Times New Roman" w:hAnsi="Times New Roman" w:cs="Times New Roman"/>
          <w:sz w:val="24"/>
          <w:szCs w:val="24"/>
        </w:rPr>
        <w:footnoteReference w:id="29"/>
      </w:r>
      <w:r w:rsidR="0005484D" w:rsidRPr="007F3B63">
        <w:rPr>
          <w:rFonts w:ascii="Times New Roman" w:hAnsi="Times New Roman" w:cs="Times New Roman"/>
          <w:sz w:val="24"/>
          <w:szCs w:val="24"/>
        </w:rPr>
        <w:t xml:space="preserve"> </w:t>
      </w:r>
    </w:p>
    <w:p w14:paraId="59AB33C8" w14:textId="77777777" w:rsidR="007A5F9F" w:rsidRPr="007F3B63" w:rsidRDefault="007A5F9F" w:rsidP="007F3B63">
      <w:pPr>
        <w:spacing w:line="360" w:lineRule="auto"/>
        <w:rPr>
          <w:rFonts w:ascii="Times New Roman" w:hAnsi="Times New Roman" w:cs="Times New Roman"/>
          <w:sz w:val="24"/>
          <w:szCs w:val="24"/>
        </w:rPr>
      </w:pPr>
    </w:p>
    <w:p w14:paraId="2EEEE32C" w14:textId="39CBE26E"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Thus a combined reading of all the three general comments on article 7, 9 and 10 leads to the conclusion that the violation of provision of one article may lead to the violation of other two. In the present case as contemplated by the human rights committee the detention under article 9 para 1 would be unlawful if it violates provisions of article 7 and 10 of the covenant. The torture or cruel and inhuman degrading treatment of the accused on remand by the police authorities in their custody would lead to violation of article 7 and 10 at the first stage. The violation of these provisions would certainly lead to further violation of article 9 because violation of first two articles would render the detention as an “unlawful” one.   </w:t>
      </w:r>
    </w:p>
    <w:p w14:paraId="64416554" w14:textId="5DBA5A5E"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Since India has ratified the convention it is bound by its provisions, the ratification of </w:t>
      </w:r>
      <w:proofErr w:type="spellStart"/>
      <w:r w:rsidRPr="007F3B63">
        <w:rPr>
          <w:rFonts w:ascii="Times New Roman" w:hAnsi="Times New Roman" w:cs="Times New Roman"/>
          <w:sz w:val="24"/>
          <w:szCs w:val="24"/>
        </w:rPr>
        <w:t>iccpr</w:t>
      </w:r>
      <w:proofErr w:type="spellEnd"/>
      <w:r w:rsidRPr="007F3B63">
        <w:rPr>
          <w:rFonts w:ascii="Times New Roman" w:hAnsi="Times New Roman" w:cs="Times New Roman"/>
          <w:sz w:val="24"/>
          <w:szCs w:val="24"/>
        </w:rPr>
        <w:t xml:space="preserve"> made the torture and cruel treatment of the accused on remand by the police as something which is in violation of the provisions of the covenant. The remand of accused under CrPC though seems to be a valid remand if its follows the procedural requirements but it would not stand the test of validity under ICCPR if the accused on remand is subjected to torture and inhuman treatment. </w:t>
      </w:r>
    </w:p>
    <w:p w14:paraId="3BD92F97" w14:textId="77777777"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Though India has not ratified the Convention against Torture and Other Cruel, Inhuman or Degrading Treatment or Punishment (CAT), 1984 it is bound by the provisions of ICCPR to respect the dignity and personal safety of the accused in the custody. In the recent Universal Periodic Review</w:t>
      </w:r>
      <w:r w:rsidRPr="007F3B63">
        <w:rPr>
          <w:rStyle w:val="FootnoteReference"/>
          <w:rFonts w:ascii="Times New Roman" w:hAnsi="Times New Roman" w:cs="Times New Roman"/>
          <w:sz w:val="24"/>
          <w:szCs w:val="24"/>
        </w:rPr>
        <w:footnoteReference w:id="30"/>
      </w:r>
      <w:r w:rsidRPr="007F3B63">
        <w:rPr>
          <w:rFonts w:ascii="Times New Roman" w:hAnsi="Times New Roman" w:cs="Times New Roman"/>
          <w:sz w:val="24"/>
          <w:szCs w:val="24"/>
        </w:rPr>
        <w:t xml:space="preserve"> which India filed in early 2017 it has given the commitment to ratify the CAT, as before that it is preparing itself to bring necessary amendment in its domestic laws. </w:t>
      </w:r>
    </w:p>
    <w:p w14:paraId="16039929" w14:textId="77777777" w:rsidR="007A5F9F"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In the review India has taken stand that till the time ratification is done in the domestic law the acts of torture remain punishable under various provisions of the Indian Penal Code i.e. section 330 and section 331 of Indian Penal Code. But the convictions under these sections remains very </w:t>
      </w:r>
      <w:r w:rsidRPr="007F3B63">
        <w:rPr>
          <w:rFonts w:ascii="Times New Roman" w:hAnsi="Times New Roman" w:cs="Times New Roman"/>
          <w:sz w:val="24"/>
          <w:szCs w:val="24"/>
        </w:rPr>
        <w:lastRenderedPageBreak/>
        <w:t xml:space="preserve">low as the Supreme court in </w:t>
      </w:r>
      <w:r w:rsidRPr="007F3B63">
        <w:rPr>
          <w:rFonts w:ascii="Times New Roman" w:hAnsi="Times New Roman" w:cs="Times New Roman"/>
          <w:i/>
          <w:sz w:val="24"/>
          <w:szCs w:val="24"/>
        </w:rPr>
        <w:t xml:space="preserve">State of MP v. </w:t>
      </w:r>
      <w:proofErr w:type="spellStart"/>
      <w:r w:rsidRPr="007F3B63">
        <w:rPr>
          <w:rFonts w:ascii="Times New Roman" w:hAnsi="Times New Roman" w:cs="Times New Roman"/>
          <w:i/>
          <w:sz w:val="24"/>
          <w:szCs w:val="24"/>
        </w:rPr>
        <w:t>Shyam</w:t>
      </w:r>
      <w:proofErr w:type="spellEnd"/>
      <w:r w:rsidRPr="007F3B63">
        <w:rPr>
          <w:rFonts w:ascii="Times New Roman" w:hAnsi="Times New Roman" w:cs="Times New Roman"/>
          <w:i/>
          <w:sz w:val="24"/>
          <w:szCs w:val="24"/>
        </w:rPr>
        <w:t xml:space="preserve"> Sunder Trivedi</w:t>
      </w:r>
      <w:r w:rsidRPr="007F3B63">
        <w:rPr>
          <w:rStyle w:val="FootnoteReference"/>
          <w:rFonts w:ascii="Times New Roman" w:hAnsi="Times New Roman" w:cs="Times New Roman"/>
          <w:sz w:val="24"/>
          <w:szCs w:val="24"/>
        </w:rPr>
        <w:footnoteReference w:id="31"/>
      </w:r>
      <w:r w:rsidRPr="007F3B63">
        <w:rPr>
          <w:rFonts w:ascii="Times New Roman" w:hAnsi="Times New Roman" w:cs="Times New Roman"/>
          <w:sz w:val="24"/>
          <w:szCs w:val="24"/>
        </w:rPr>
        <w:t xml:space="preserve"> observed that Section 330, 331 of the Penal Code make it punishable for persons who cause hurt for the purpose of extorting the confession by making the offence punishable with sentence up to 10 years of imprisonment but convictions, in such cases, are fewer because of the difficulties in proving evidence. </w:t>
      </w:r>
    </w:p>
    <w:p w14:paraId="581E80E7" w14:textId="6D338AA1" w:rsidR="00B67316" w:rsidRPr="007F3B63" w:rsidRDefault="007A5F9F"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Further In D.K. </w:t>
      </w:r>
      <w:proofErr w:type="spellStart"/>
      <w:r w:rsidRPr="007F3B63">
        <w:rPr>
          <w:rFonts w:ascii="Times New Roman" w:hAnsi="Times New Roman" w:cs="Times New Roman"/>
          <w:sz w:val="24"/>
          <w:szCs w:val="24"/>
        </w:rPr>
        <w:t>Basu’s</w:t>
      </w:r>
      <w:proofErr w:type="spellEnd"/>
      <w:r w:rsidRPr="007F3B63">
        <w:rPr>
          <w:rFonts w:ascii="Times New Roman" w:hAnsi="Times New Roman" w:cs="Times New Roman"/>
          <w:sz w:val="24"/>
          <w:szCs w:val="24"/>
        </w:rPr>
        <w:t xml:space="preserve">  after perusing several reports on custodial violence Supreme Court held that, “</w:t>
      </w:r>
      <w:r w:rsidRPr="007F3B63">
        <w:rPr>
          <w:rFonts w:ascii="Times New Roman" w:hAnsi="Times New Roman" w:cs="Times New Roman"/>
          <w:i/>
          <w:sz w:val="24"/>
          <w:szCs w:val="24"/>
        </w:rPr>
        <w:t>Custodial violence including torture and death in lock ups strikes a blow at the rule of law which demands that the powers of executive should not only be derived from law but also that the same should be limited by law</w:t>
      </w:r>
      <w:r w:rsidRPr="007F3B63">
        <w:rPr>
          <w:rFonts w:ascii="Times New Roman" w:hAnsi="Times New Roman" w:cs="Times New Roman"/>
          <w:sz w:val="24"/>
          <w:szCs w:val="24"/>
        </w:rPr>
        <w:t>.”</w:t>
      </w:r>
      <w:r w:rsidRPr="007F3B63">
        <w:rPr>
          <w:rStyle w:val="FootnoteReference"/>
          <w:rFonts w:ascii="Times New Roman" w:hAnsi="Times New Roman" w:cs="Times New Roman"/>
          <w:sz w:val="24"/>
          <w:szCs w:val="24"/>
        </w:rPr>
        <w:footnoteReference w:id="32"/>
      </w:r>
    </w:p>
    <w:p w14:paraId="3C9E527A" w14:textId="5129C222" w:rsidR="00B67316" w:rsidRPr="007F3B63" w:rsidRDefault="00260615" w:rsidP="007F3B63">
      <w:pPr>
        <w:spacing w:line="360" w:lineRule="auto"/>
        <w:rPr>
          <w:rFonts w:ascii="Times New Roman" w:hAnsi="Times New Roman" w:cs="Times New Roman"/>
          <w:b/>
          <w:bCs/>
          <w:sz w:val="24"/>
          <w:szCs w:val="24"/>
          <w:lang w:bidi="hi-IN"/>
        </w:rPr>
      </w:pPr>
      <w:r w:rsidRPr="007F3B63">
        <w:rPr>
          <w:rFonts w:ascii="Times New Roman" w:hAnsi="Times New Roman" w:cs="Times New Roman"/>
          <w:b/>
          <w:bCs/>
          <w:sz w:val="24"/>
          <w:szCs w:val="24"/>
          <w:lang w:bidi="hi-IN"/>
        </w:rPr>
        <w:t>5</w:t>
      </w:r>
      <w:r w:rsidR="004F529B" w:rsidRPr="007F3B63">
        <w:rPr>
          <w:rFonts w:ascii="Times New Roman" w:hAnsi="Times New Roman" w:cs="Times New Roman"/>
          <w:b/>
          <w:bCs/>
          <w:sz w:val="24"/>
          <w:szCs w:val="24"/>
          <w:lang w:bidi="hi-IN"/>
        </w:rPr>
        <w:t xml:space="preserve">. </w:t>
      </w:r>
      <w:r w:rsidR="00D767F4" w:rsidRPr="007F3B63">
        <w:rPr>
          <w:rFonts w:ascii="Times New Roman" w:hAnsi="Times New Roman" w:cs="Times New Roman"/>
          <w:b/>
          <w:bCs/>
          <w:sz w:val="24"/>
          <w:szCs w:val="24"/>
          <w:lang w:bidi="hi-IN"/>
        </w:rPr>
        <w:t xml:space="preserve">Duration of Detention </w:t>
      </w:r>
    </w:p>
    <w:p w14:paraId="20CED77B" w14:textId="77777777" w:rsidR="004F529B" w:rsidRPr="007F3B63" w:rsidRDefault="00D767F4"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 xml:space="preserve">Remand must be a “term”, i.e., a fixed period and not the </w:t>
      </w:r>
      <w:r w:rsidRPr="007F3B63">
        <w:rPr>
          <w:rFonts w:ascii="Times New Roman" w:hAnsi="Times New Roman" w:cs="Times New Roman"/>
          <w:i/>
          <w:sz w:val="24"/>
          <w:szCs w:val="24"/>
          <w:lang w:bidi="hi-IN"/>
        </w:rPr>
        <w:t>sine die</w:t>
      </w:r>
      <w:r w:rsidRPr="007F3B63">
        <w:rPr>
          <w:rFonts w:ascii="Times New Roman" w:hAnsi="Times New Roman" w:cs="Times New Roman"/>
          <w:sz w:val="24"/>
          <w:szCs w:val="24"/>
          <w:lang w:bidi="hi-IN"/>
        </w:rPr>
        <w:t xml:space="preserve"> and initially the term cannot exceed fifteen days in all. The term must be limited as much as possible to what is necessary for the object in view</w:t>
      </w:r>
      <w:r w:rsidR="00A63029" w:rsidRPr="007F3B63">
        <w:rPr>
          <w:rFonts w:ascii="Times New Roman" w:hAnsi="Times New Roman" w:cs="Times New Roman"/>
          <w:sz w:val="24"/>
          <w:szCs w:val="24"/>
          <w:lang w:bidi="hi-IN"/>
        </w:rPr>
        <w:t>.</w:t>
      </w:r>
      <w:r w:rsidRPr="007F3B63">
        <w:rPr>
          <w:rStyle w:val="FootnoteReference"/>
          <w:rFonts w:ascii="Times New Roman" w:hAnsi="Times New Roman" w:cs="Times New Roman"/>
          <w:sz w:val="24"/>
          <w:szCs w:val="24"/>
          <w:lang w:bidi="hi-IN"/>
        </w:rPr>
        <w:footnoteReference w:id="33"/>
      </w:r>
      <w:r w:rsidR="00035BEE" w:rsidRPr="007F3B63">
        <w:rPr>
          <w:rFonts w:ascii="Times New Roman" w:hAnsi="Times New Roman" w:cs="Times New Roman"/>
          <w:sz w:val="24"/>
          <w:szCs w:val="24"/>
          <w:lang w:bidi="hi-IN"/>
        </w:rPr>
        <w:t xml:space="preserve">The task of assessing the reasonableness of the length of detention on remand is often a particularly difficult one. The interests of the detainee have to be weighed against the interests of the effective prosecution of crime, which may be a particularly onerous task especially in cases of white-collar crime, organized crime, crimes against humanity, or terrorism. </w:t>
      </w:r>
    </w:p>
    <w:p w14:paraId="3A2D5643" w14:textId="77777777" w:rsidR="004F529B" w:rsidRPr="007F3B63" w:rsidRDefault="004F529B"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 xml:space="preserve">In </w:t>
      </w:r>
      <w:proofErr w:type="spellStart"/>
      <w:r w:rsidRPr="007F3B63">
        <w:rPr>
          <w:rFonts w:ascii="Times New Roman" w:hAnsi="Times New Roman" w:cs="Times New Roman"/>
          <w:i/>
          <w:sz w:val="24"/>
          <w:szCs w:val="24"/>
          <w:lang w:bidi="hi-IN"/>
        </w:rPr>
        <w:t>Nuemeister</w:t>
      </w:r>
      <w:proofErr w:type="spellEnd"/>
      <w:r w:rsidRPr="007F3B63">
        <w:rPr>
          <w:rFonts w:ascii="Times New Roman" w:hAnsi="Times New Roman" w:cs="Times New Roman"/>
          <w:i/>
          <w:sz w:val="24"/>
          <w:szCs w:val="24"/>
          <w:lang w:bidi="hi-IN"/>
        </w:rPr>
        <w:t xml:space="preserve"> </w:t>
      </w:r>
      <w:r w:rsidR="00455E58" w:rsidRPr="007F3B63">
        <w:rPr>
          <w:rFonts w:ascii="Times New Roman" w:hAnsi="Times New Roman" w:cs="Times New Roman"/>
          <w:i/>
          <w:sz w:val="24"/>
          <w:szCs w:val="24"/>
          <w:lang w:bidi="hi-IN"/>
        </w:rPr>
        <w:t>v. Austria</w:t>
      </w:r>
      <w:r w:rsidR="00455E58" w:rsidRPr="007F3B63">
        <w:rPr>
          <w:rFonts w:ascii="Times New Roman" w:hAnsi="Times New Roman" w:cs="Times New Roman"/>
          <w:sz w:val="24"/>
          <w:szCs w:val="24"/>
          <w:lang w:bidi="hi-IN"/>
        </w:rPr>
        <w:t xml:space="preserve"> ECHR observed that the requirement of the length of detention on remand be limited is closely related to the presumption of innocence –there is a clear danger that this detention will be misused.</w:t>
      </w:r>
      <w:r w:rsidR="00455E58" w:rsidRPr="007F3B63">
        <w:rPr>
          <w:rStyle w:val="FootnoteReference"/>
          <w:rFonts w:ascii="Times New Roman" w:hAnsi="Times New Roman" w:cs="Times New Roman"/>
          <w:sz w:val="24"/>
          <w:szCs w:val="24"/>
          <w:lang w:bidi="hi-IN"/>
        </w:rPr>
        <w:footnoteReference w:id="34"/>
      </w:r>
    </w:p>
    <w:p w14:paraId="263C6870" w14:textId="48F43D88" w:rsidR="00B67316" w:rsidRPr="007F3B63" w:rsidRDefault="00A63029"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The time limit of 15 days is applicable both to the Magistrate with or without jurisdiction in the case.</w:t>
      </w:r>
      <w:r w:rsidRPr="007F3B63">
        <w:rPr>
          <w:rStyle w:val="FootnoteReference"/>
          <w:rFonts w:ascii="Times New Roman" w:hAnsi="Times New Roman" w:cs="Times New Roman"/>
          <w:sz w:val="24"/>
          <w:szCs w:val="24"/>
          <w:lang w:bidi="hi-IN"/>
        </w:rPr>
        <w:footnoteReference w:id="35"/>
      </w:r>
      <w:r w:rsidRPr="007F3B63">
        <w:rPr>
          <w:rFonts w:ascii="Times New Roman" w:hAnsi="Times New Roman" w:cs="Times New Roman"/>
          <w:sz w:val="24"/>
          <w:szCs w:val="24"/>
          <w:lang w:bidi="hi-IN"/>
        </w:rPr>
        <w:t xml:space="preserve"> The limit for police custody prescribed under section 167(2) for a period not exceeding 15 </w:t>
      </w:r>
      <w:r w:rsidRPr="007F3B63">
        <w:rPr>
          <w:rFonts w:ascii="Times New Roman" w:hAnsi="Times New Roman" w:cs="Times New Roman"/>
          <w:sz w:val="24"/>
          <w:szCs w:val="24"/>
          <w:lang w:bidi="hi-IN"/>
        </w:rPr>
        <w:lastRenderedPageBreak/>
        <w:t>days in the whole for investigation applies to a single case and is not attracted when the accused is involved in a series of different cases</w:t>
      </w:r>
      <w:r w:rsidR="00D01EA5" w:rsidRPr="007F3B63">
        <w:rPr>
          <w:rFonts w:ascii="Times New Roman" w:hAnsi="Times New Roman" w:cs="Times New Roman"/>
          <w:sz w:val="24"/>
          <w:szCs w:val="24"/>
          <w:lang w:bidi="hi-IN"/>
        </w:rPr>
        <w:t>.</w:t>
      </w:r>
      <w:r w:rsidRPr="007F3B63">
        <w:rPr>
          <w:rStyle w:val="FootnoteReference"/>
          <w:rFonts w:ascii="Times New Roman" w:hAnsi="Times New Roman" w:cs="Times New Roman"/>
          <w:sz w:val="24"/>
          <w:szCs w:val="24"/>
          <w:lang w:bidi="hi-IN"/>
        </w:rPr>
        <w:footnoteReference w:id="36"/>
      </w:r>
    </w:p>
    <w:p w14:paraId="7E2E154E" w14:textId="77777777" w:rsidR="007F3B63" w:rsidRDefault="00D01EA5" w:rsidP="007F3B63">
      <w:pPr>
        <w:spacing w:line="360" w:lineRule="auto"/>
        <w:rPr>
          <w:rFonts w:ascii="Times New Roman" w:hAnsi="Times New Roman" w:cs="Times New Roman"/>
          <w:b/>
          <w:color w:val="000000" w:themeColor="text1"/>
          <w:sz w:val="28"/>
          <w:szCs w:val="28"/>
          <w:u w:val="single"/>
        </w:rPr>
      </w:pPr>
      <w:r w:rsidRPr="007F3B63">
        <w:rPr>
          <w:rFonts w:ascii="Times New Roman" w:hAnsi="Times New Roman" w:cs="Times New Roman"/>
          <w:b/>
          <w:color w:val="000000" w:themeColor="text1"/>
          <w:sz w:val="28"/>
          <w:szCs w:val="28"/>
          <w:u w:val="single"/>
        </w:rPr>
        <w:t xml:space="preserve"> Police Custody vs. Judicial Custody</w:t>
      </w:r>
    </w:p>
    <w:p w14:paraId="10F890CA" w14:textId="07B9CE5A" w:rsidR="00757661" w:rsidRPr="007F3B63" w:rsidRDefault="00757661" w:rsidP="007F3B63">
      <w:pPr>
        <w:spacing w:line="360" w:lineRule="auto"/>
        <w:rPr>
          <w:rFonts w:ascii="Times New Roman" w:hAnsi="Times New Roman" w:cs="Times New Roman"/>
          <w:b/>
          <w:color w:val="000000" w:themeColor="text1"/>
          <w:sz w:val="28"/>
          <w:szCs w:val="28"/>
          <w:u w:val="single"/>
        </w:rPr>
      </w:pPr>
      <w:r w:rsidRPr="007F3B63">
        <w:rPr>
          <w:rFonts w:ascii="Times New Roman" w:hAnsi="Times New Roman" w:cs="Times New Roman"/>
          <w:sz w:val="24"/>
          <w:szCs w:val="24"/>
        </w:rPr>
        <w:t>In Black’s Law Dictionary,</w:t>
      </w:r>
      <w:r w:rsidRPr="007F3B63">
        <w:rPr>
          <w:rStyle w:val="FootnoteReference"/>
          <w:rFonts w:ascii="Times New Roman" w:hAnsi="Times New Roman" w:cs="Times New Roman"/>
          <w:sz w:val="24"/>
          <w:szCs w:val="24"/>
        </w:rPr>
        <w:footnoteReference w:id="37"/>
      </w:r>
      <w:r w:rsidRPr="007F3B63">
        <w:rPr>
          <w:rFonts w:ascii="Times New Roman" w:hAnsi="Times New Roman" w:cs="Times New Roman"/>
          <w:sz w:val="24"/>
          <w:szCs w:val="24"/>
        </w:rPr>
        <w:t xml:space="preserve"> the expression “custody” has been explained to be the term very elastic and may mean actual imprisonment or physical detention and does not necessarily mean actual physical detention in jail or prison but rather is synonymous with restraint of liberty. </w:t>
      </w:r>
    </w:p>
    <w:p w14:paraId="2AD73DC5" w14:textId="77777777" w:rsidR="00D01EA5" w:rsidRPr="007F3B63" w:rsidRDefault="00000000" w:rsidP="007F3B63">
      <w:pPr>
        <w:spacing w:line="360" w:lineRule="auto"/>
        <w:rPr>
          <w:rFonts w:ascii="Times New Roman" w:hAnsi="Times New Roman" w:cs="Times New Roman"/>
          <w:color w:val="000000"/>
          <w:sz w:val="24"/>
          <w:szCs w:val="24"/>
          <w:shd w:val="clear" w:color="auto" w:fill="FFFFFF"/>
        </w:rPr>
      </w:pPr>
      <w:hyperlink r:id="rId7" w:history="1">
        <w:r w:rsidR="00D01EA5" w:rsidRPr="007F3B63">
          <w:rPr>
            <w:rStyle w:val="Hyperlink"/>
            <w:rFonts w:ascii="Times New Roman" w:hAnsi="Times New Roman" w:cs="Times New Roman"/>
            <w:color w:val="000000" w:themeColor="text1"/>
            <w:sz w:val="24"/>
            <w:szCs w:val="24"/>
            <w:u w:val="none"/>
            <w:shd w:val="clear" w:color="auto" w:fill="FFFFFF"/>
          </w:rPr>
          <w:t xml:space="preserve">In </w:t>
        </w:r>
        <w:r w:rsidR="00D01EA5" w:rsidRPr="007F3B63">
          <w:rPr>
            <w:rStyle w:val="Hyperlink"/>
            <w:rFonts w:ascii="Times New Roman" w:hAnsi="Times New Roman" w:cs="Times New Roman"/>
            <w:bCs/>
            <w:i/>
            <w:iCs/>
            <w:color w:val="000000" w:themeColor="text1"/>
            <w:sz w:val="24"/>
            <w:szCs w:val="24"/>
            <w:u w:val="none"/>
            <w:shd w:val="clear" w:color="auto" w:fill="FFFFFF"/>
          </w:rPr>
          <w:t>C.B.I., Special Investigation Cell - I, New Delhi v. Anupam J. Kulkarni</w:t>
        </w:r>
      </w:hyperlink>
      <w:r w:rsidR="00D01EA5" w:rsidRPr="007F3B63">
        <w:rPr>
          <w:rStyle w:val="FootnoteReference"/>
          <w:rFonts w:ascii="Times New Roman" w:hAnsi="Times New Roman" w:cs="Times New Roman"/>
          <w:color w:val="000000" w:themeColor="text1"/>
          <w:sz w:val="24"/>
          <w:szCs w:val="24"/>
        </w:rPr>
        <w:footnoteReference w:id="38"/>
      </w:r>
      <w:r w:rsidR="00D01EA5" w:rsidRPr="007F3B63">
        <w:rPr>
          <w:rStyle w:val="apple-converted-space"/>
          <w:rFonts w:ascii="Times New Roman" w:hAnsi="Times New Roman" w:cs="Times New Roman"/>
          <w:color w:val="000000"/>
          <w:sz w:val="24"/>
          <w:szCs w:val="24"/>
          <w:shd w:val="clear" w:color="auto" w:fill="FFFFFF"/>
        </w:rPr>
        <w:t> </w:t>
      </w:r>
      <w:r w:rsidR="00D01EA5" w:rsidRPr="007F3B63">
        <w:rPr>
          <w:rFonts w:ascii="Times New Roman" w:hAnsi="Times New Roman" w:cs="Times New Roman"/>
          <w:color w:val="000000"/>
          <w:sz w:val="24"/>
          <w:szCs w:val="24"/>
          <w:shd w:val="clear" w:color="auto" w:fill="FFFFFF"/>
        </w:rPr>
        <w:t>the Supreme Court considered the ambit and scope of Section 167 and held that there cannot be any detention in police custody after the expiry of the first 15 days even in a case where some more offences, either serious or otherwise committed by an accused in the same transaction come to light at a later stage. The Bench, however clarified that the bar did not apply if the same arrested accused was involved in some other or different case arising out of a different transaction, in which event the period of remand needs to be considered in respect to each of such cases.</w:t>
      </w:r>
    </w:p>
    <w:p w14:paraId="1E6984BC" w14:textId="77777777" w:rsidR="00260615" w:rsidRPr="007F3B63" w:rsidRDefault="00D01EA5" w:rsidP="007F3B63">
      <w:pPr>
        <w:spacing w:line="360" w:lineRule="auto"/>
        <w:rPr>
          <w:rFonts w:ascii="Times New Roman" w:hAnsi="Times New Roman" w:cs="Times New Roman"/>
          <w:color w:val="000000"/>
          <w:sz w:val="24"/>
          <w:szCs w:val="24"/>
          <w:shd w:val="clear" w:color="auto" w:fill="FFFFFF"/>
        </w:rPr>
      </w:pPr>
      <w:r w:rsidRPr="007F3B63">
        <w:rPr>
          <w:rFonts w:ascii="Times New Roman" w:hAnsi="Times New Roman" w:cs="Times New Roman"/>
          <w:color w:val="000000"/>
          <w:sz w:val="24"/>
          <w:szCs w:val="24"/>
          <w:shd w:val="clear" w:color="auto" w:fill="FFFFFF"/>
        </w:rPr>
        <w:t xml:space="preserve">Following the </w:t>
      </w:r>
      <w:proofErr w:type="gramStart"/>
      <w:r w:rsidRPr="007F3B63">
        <w:rPr>
          <w:rFonts w:ascii="Times New Roman" w:hAnsi="Times New Roman" w:cs="Times New Roman"/>
          <w:color w:val="000000"/>
          <w:sz w:val="24"/>
          <w:szCs w:val="24"/>
          <w:shd w:val="clear" w:color="auto" w:fill="FFFFFF"/>
        </w:rPr>
        <w:t>above mentioned</w:t>
      </w:r>
      <w:proofErr w:type="gramEnd"/>
      <w:r w:rsidRPr="007F3B63">
        <w:rPr>
          <w:rFonts w:ascii="Times New Roman" w:hAnsi="Times New Roman" w:cs="Times New Roman"/>
          <w:color w:val="000000"/>
          <w:sz w:val="24"/>
          <w:szCs w:val="24"/>
          <w:shd w:val="clear" w:color="auto" w:fill="FFFFFF"/>
        </w:rPr>
        <w:t xml:space="preserve"> judgment, the Supreme Court in </w:t>
      </w:r>
      <w:proofErr w:type="spellStart"/>
      <w:r w:rsidRPr="007F3B63">
        <w:rPr>
          <w:rFonts w:ascii="Times New Roman" w:hAnsi="Times New Roman" w:cs="Times New Roman"/>
          <w:bCs/>
          <w:i/>
          <w:iCs/>
          <w:color w:val="000000"/>
          <w:sz w:val="24"/>
          <w:szCs w:val="24"/>
          <w:shd w:val="clear" w:color="auto" w:fill="FFFFFF"/>
        </w:rPr>
        <w:t>Budh</w:t>
      </w:r>
      <w:proofErr w:type="spellEnd"/>
      <w:r w:rsidRPr="007F3B63">
        <w:rPr>
          <w:rFonts w:ascii="Times New Roman" w:hAnsi="Times New Roman" w:cs="Times New Roman"/>
          <w:bCs/>
          <w:i/>
          <w:iCs/>
          <w:color w:val="000000"/>
          <w:sz w:val="24"/>
          <w:szCs w:val="24"/>
          <w:shd w:val="clear" w:color="auto" w:fill="FFFFFF"/>
        </w:rPr>
        <w:t xml:space="preserve"> Singh </w:t>
      </w:r>
      <w:r w:rsidRPr="007F3B63">
        <w:rPr>
          <w:rFonts w:ascii="Times New Roman" w:hAnsi="Times New Roman" w:cs="Times New Roman"/>
          <w:bCs/>
          <w:color w:val="000000"/>
          <w:sz w:val="24"/>
          <w:szCs w:val="24"/>
          <w:shd w:val="clear" w:color="auto" w:fill="FFFFFF"/>
        </w:rPr>
        <w:t xml:space="preserve">v. </w:t>
      </w:r>
      <w:r w:rsidRPr="007F3B63">
        <w:rPr>
          <w:rFonts w:ascii="Times New Roman" w:hAnsi="Times New Roman" w:cs="Times New Roman"/>
          <w:bCs/>
          <w:i/>
          <w:iCs/>
          <w:color w:val="000000"/>
          <w:sz w:val="24"/>
          <w:szCs w:val="24"/>
          <w:shd w:val="clear" w:color="auto" w:fill="FFFFFF"/>
        </w:rPr>
        <w:t>State of Punjab,</w:t>
      </w:r>
      <w:r w:rsidRPr="007F3B63">
        <w:rPr>
          <w:rStyle w:val="FootnoteReference"/>
          <w:rFonts w:ascii="Times New Roman" w:hAnsi="Times New Roman" w:cs="Times New Roman"/>
          <w:b/>
          <w:bCs/>
          <w:i/>
          <w:iCs/>
          <w:color w:val="000000"/>
          <w:sz w:val="24"/>
          <w:szCs w:val="24"/>
          <w:shd w:val="clear" w:color="auto" w:fill="FFFFFF"/>
        </w:rPr>
        <w:footnoteReference w:id="39"/>
      </w:r>
      <w:r w:rsidRPr="007F3B63">
        <w:rPr>
          <w:rFonts w:ascii="Times New Roman" w:hAnsi="Times New Roman" w:cs="Times New Roman"/>
          <w:color w:val="000000"/>
          <w:sz w:val="24"/>
          <w:szCs w:val="24"/>
          <w:shd w:val="clear" w:color="auto" w:fill="FFFFFF"/>
        </w:rPr>
        <w:t>where an order of 7 days police remand after the expiry of 15 days police remand was given, the Apex Court held that the impugned order of the High Court violates the statutory provisions contained in Section 167</w:t>
      </w:r>
      <w:r w:rsidRPr="007F3B63">
        <w:rPr>
          <w:rStyle w:val="apple-converted-space"/>
          <w:rFonts w:ascii="Times New Roman" w:hAnsi="Times New Roman" w:cs="Times New Roman"/>
          <w:color w:val="000000"/>
          <w:sz w:val="24"/>
          <w:szCs w:val="24"/>
          <w:shd w:val="clear" w:color="auto" w:fill="FFFFFF"/>
        </w:rPr>
        <w:t> </w:t>
      </w:r>
      <w:proofErr w:type="spellStart"/>
      <w:r w:rsidRPr="007F3B63">
        <w:rPr>
          <w:rFonts w:ascii="Times New Roman" w:hAnsi="Times New Roman" w:cs="Times New Roman"/>
          <w:color w:val="000000"/>
          <w:sz w:val="24"/>
          <w:szCs w:val="24"/>
          <w:shd w:val="clear" w:color="auto" w:fill="FFFFFF"/>
        </w:rPr>
        <w:t>Cr.P.C</w:t>
      </w:r>
      <w:proofErr w:type="spellEnd"/>
      <w:r w:rsidRPr="007F3B63">
        <w:rPr>
          <w:rFonts w:ascii="Times New Roman" w:hAnsi="Times New Roman" w:cs="Times New Roman"/>
          <w:color w:val="000000"/>
          <w:sz w:val="24"/>
          <w:szCs w:val="24"/>
          <w:shd w:val="clear" w:color="auto" w:fill="FFFFFF"/>
        </w:rPr>
        <w:t xml:space="preserve">. Since it </w:t>
      </w:r>
      <w:proofErr w:type="spellStart"/>
      <w:r w:rsidRPr="007F3B63">
        <w:rPr>
          <w:rFonts w:ascii="Times New Roman" w:hAnsi="Times New Roman" w:cs="Times New Roman"/>
          <w:color w:val="000000"/>
          <w:sz w:val="24"/>
          <w:szCs w:val="24"/>
          <w:shd w:val="clear" w:color="auto" w:fill="FFFFFF"/>
        </w:rPr>
        <w:t>authorises</w:t>
      </w:r>
      <w:proofErr w:type="spellEnd"/>
      <w:r w:rsidRPr="007F3B63">
        <w:rPr>
          <w:rFonts w:ascii="Times New Roman" w:hAnsi="Times New Roman" w:cs="Times New Roman"/>
          <w:color w:val="000000"/>
          <w:sz w:val="24"/>
          <w:szCs w:val="24"/>
          <w:shd w:val="clear" w:color="auto" w:fill="FFFFFF"/>
        </w:rPr>
        <w:t xml:space="preserve"> police remand for a period of seven days after the expiry of the first fifteen days period.</w:t>
      </w:r>
    </w:p>
    <w:p w14:paraId="5115F5CA" w14:textId="77777777" w:rsidR="00CD4C86" w:rsidRPr="007F3B63" w:rsidRDefault="00260615" w:rsidP="007F3B63">
      <w:pPr>
        <w:spacing w:line="360" w:lineRule="auto"/>
        <w:rPr>
          <w:rFonts w:ascii="Times New Roman" w:hAnsi="Times New Roman" w:cs="Times New Roman"/>
          <w:b/>
          <w:sz w:val="24"/>
          <w:szCs w:val="24"/>
          <w:u w:val="single"/>
        </w:rPr>
      </w:pPr>
      <w:r w:rsidRPr="007F3B63">
        <w:rPr>
          <w:rFonts w:ascii="Times New Roman" w:hAnsi="Times New Roman" w:cs="Times New Roman"/>
          <w:b/>
          <w:sz w:val="28"/>
          <w:szCs w:val="28"/>
          <w:u w:val="single"/>
        </w:rPr>
        <w:t>5</w:t>
      </w:r>
      <w:r w:rsidR="00C73B01" w:rsidRPr="007F3B63">
        <w:rPr>
          <w:rFonts w:ascii="Times New Roman" w:hAnsi="Times New Roman" w:cs="Times New Roman"/>
          <w:b/>
          <w:sz w:val="28"/>
          <w:szCs w:val="28"/>
          <w:u w:val="single"/>
        </w:rPr>
        <w:t>.2</w:t>
      </w:r>
      <w:r w:rsidR="00CD4C86" w:rsidRPr="007F3B63">
        <w:rPr>
          <w:rFonts w:ascii="Times New Roman" w:hAnsi="Times New Roman" w:cs="Times New Roman"/>
          <w:b/>
          <w:sz w:val="28"/>
          <w:szCs w:val="28"/>
          <w:u w:val="single"/>
        </w:rPr>
        <w:t xml:space="preserve"> On the Expiry of the Specified term under Section 167.</w:t>
      </w:r>
    </w:p>
    <w:p w14:paraId="528329E3" w14:textId="77777777" w:rsidR="00CD4C86" w:rsidRPr="007F3B63" w:rsidRDefault="00CD4C86"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After expiry of 60/90 days as the case may be, it becomes a right of the accused to get bail. Magistrate cannot keep the Application pending, it is an absolute right. </w:t>
      </w:r>
    </w:p>
    <w:p w14:paraId="0CEACBB3" w14:textId="77777777" w:rsidR="00CD4C86" w:rsidRPr="007F3B63" w:rsidRDefault="00CD4C86"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lastRenderedPageBreak/>
        <w:t xml:space="preserve">In </w:t>
      </w:r>
      <w:r w:rsidRPr="007F3B63">
        <w:rPr>
          <w:rFonts w:ascii="Times New Roman" w:hAnsi="Times New Roman" w:cs="Times New Roman"/>
          <w:bCs/>
          <w:i/>
          <w:iCs/>
          <w:sz w:val="24"/>
          <w:szCs w:val="24"/>
        </w:rPr>
        <w:t xml:space="preserve">State of U.P. </w:t>
      </w:r>
      <w:r w:rsidRPr="007F3B63">
        <w:rPr>
          <w:rFonts w:ascii="Times New Roman" w:hAnsi="Times New Roman" w:cs="Times New Roman"/>
          <w:bCs/>
          <w:sz w:val="24"/>
          <w:szCs w:val="24"/>
        </w:rPr>
        <w:t xml:space="preserve">vs. </w:t>
      </w:r>
      <w:r w:rsidRPr="007F3B63">
        <w:rPr>
          <w:rFonts w:ascii="Times New Roman" w:hAnsi="Times New Roman" w:cs="Times New Roman"/>
          <w:bCs/>
          <w:i/>
          <w:iCs/>
          <w:sz w:val="24"/>
          <w:szCs w:val="24"/>
        </w:rPr>
        <w:t xml:space="preserve">Laxmi </w:t>
      </w:r>
      <w:proofErr w:type="spellStart"/>
      <w:r w:rsidRPr="007F3B63">
        <w:rPr>
          <w:rFonts w:ascii="Times New Roman" w:hAnsi="Times New Roman" w:cs="Times New Roman"/>
          <w:bCs/>
          <w:i/>
          <w:iCs/>
          <w:sz w:val="24"/>
          <w:szCs w:val="24"/>
        </w:rPr>
        <w:t>Brahmananda</w:t>
      </w:r>
      <w:proofErr w:type="spellEnd"/>
      <w:r w:rsidRPr="007F3B63">
        <w:rPr>
          <w:rFonts w:ascii="Times New Roman" w:hAnsi="Times New Roman" w:cs="Times New Roman"/>
          <w:bCs/>
          <w:i/>
          <w:iCs/>
          <w:sz w:val="24"/>
          <w:szCs w:val="24"/>
        </w:rPr>
        <w:t>,</w:t>
      </w:r>
      <w:r w:rsidRPr="007F3B63">
        <w:rPr>
          <w:rStyle w:val="FootnoteReference"/>
          <w:rFonts w:ascii="Times New Roman" w:hAnsi="Times New Roman" w:cs="Times New Roman"/>
          <w:b/>
          <w:bCs/>
          <w:i/>
          <w:iCs/>
          <w:sz w:val="24"/>
          <w:szCs w:val="24"/>
        </w:rPr>
        <w:footnoteReference w:id="40"/>
      </w:r>
      <w:r w:rsidRPr="007F3B63">
        <w:rPr>
          <w:rFonts w:ascii="Times New Roman" w:hAnsi="Times New Roman" w:cs="Times New Roman"/>
          <w:sz w:val="24"/>
          <w:szCs w:val="24"/>
        </w:rPr>
        <w:t xml:space="preserve">it was held that on the expiry of sixty days from the date of the arrest of the accused, his further detention does not </w:t>
      </w:r>
      <w:r w:rsidRPr="007F3B63">
        <w:rPr>
          <w:rFonts w:ascii="Times New Roman" w:hAnsi="Times New Roman" w:cs="Times New Roman"/>
          <w:i/>
          <w:iCs/>
          <w:sz w:val="24"/>
          <w:szCs w:val="24"/>
        </w:rPr>
        <w:t xml:space="preserve">ipso facto </w:t>
      </w:r>
      <w:r w:rsidRPr="007F3B63">
        <w:rPr>
          <w:rFonts w:ascii="Times New Roman" w:hAnsi="Times New Roman" w:cs="Times New Roman"/>
          <w:sz w:val="24"/>
          <w:szCs w:val="24"/>
        </w:rPr>
        <w:t xml:space="preserve">become illegal or void, but if the chare-sheet is not submitted </w:t>
      </w:r>
      <w:r w:rsidR="006B74A1" w:rsidRPr="007F3B63">
        <w:rPr>
          <w:rFonts w:ascii="Times New Roman" w:hAnsi="Times New Roman" w:cs="Times New Roman"/>
          <w:sz w:val="24"/>
          <w:szCs w:val="24"/>
        </w:rPr>
        <w:t>within the period of 60 days</w:t>
      </w:r>
      <w:r w:rsidRPr="007F3B63">
        <w:rPr>
          <w:rFonts w:ascii="Times New Roman" w:hAnsi="Times New Roman" w:cs="Times New Roman"/>
          <w:sz w:val="24"/>
          <w:szCs w:val="24"/>
        </w:rPr>
        <w:t>, notwithstanding anything to the contrary in s. 347(1), the accused would be entitled to an order for being released on bail if he is prepared to and furnishes the bail.</w:t>
      </w:r>
    </w:p>
    <w:p w14:paraId="26954A86" w14:textId="77777777" w:rsidR="00CD4C86" w:rsidRPr="007F3B63" w:rsidRDefault="00CD4C86" w:rsidP="007F3B63">
      <w:pPr>
        <w:spacing w:line="360" w:lineRule="auto"/>
        <w:rPr>
          <w:rFonts w:ascii="Times New Roman" w:hAnsi="Times New Roman" w:cs="Times New Roman"/>
          <w:sz w:val="24"/>
          <w:szCs w:val="24"/>
        </w:rPr>
      </w:pPr>
      <w:r w:rsidRPr="007F3B63">
        <w:rPr>
          <w:rFonts w:ascii="Times New Roman" w:hAnsi="Times New Roman" w:cs="Times New Roman"/>
          <w:sz w:val="24"/>
          <w:szCs w:val="24"/>
        </w:rPr>
        <w:t xml:space="preserve">In </w:t>
      </w:r>
      <w:proofErr w:type="spellStart"/>
      <w:r w:rsidRPr="007F3B63">
        <w:rPr>
          <w:rFonts w:ascii="Times New Roman" w:hAnsi="Times New Roman" w:cs="Times New Roman"/>
          <w:bCs/>
          <w:i/>
          <w:iCs/>
          <w:sz w:val="24"/>
          <w:szCs w:val="24"/>
        </w:rPr>
        <w:t>Mantoo</w:t>
      </w:r>
      <w:proofErr w:type="spellEnd"/>
      <w:r w:rsidRPr="007F3B63">
        <w:rPr>
          <w:rFonts w:ascii="Times New Roman" w:hAnsi="Times New Roman" w:cs="Times New Roman"/>
          <w:bCs/>
          <w:i/>
          <w:iCs/>
          <w:sz w:val="24"/>
          <w:szCs w:val="24"/>
        </w:rPr>
        <w:t xml:space="preserve"> Majumdar </w:t>
      </w:r>
      <w:r w:rsidRPr="007F3B63">
        <w:rPr>
          <w:rFonts w:ascii="Times New Roman" w:hAnsi="Times New Roman" w:cs="Times New Roman"/>
          <w:bCs/>
          <w:sz w:val="24"/>
          <w:szCs w:val="24"/>
        </w:rPr>
        <w:t xml:space="preserve">vs. </w:t>
      </w:r>
      <w:r w:rsidRPr="007F3B63">
        <w:rPr>
          <w:rFonts w:ascii="Times New Roman" w:hAnsi="Times New Roman" w:cs="Times New Roman"/>
          <w:bCs/>
          <w:i/>
          <w:iCs/>
          <w:sz w:val="24"/>
          <w:szCs w:val="24"/>
        </w:rPr>
        <w:t>State of Bihar,</w:t>
      </w:r>
      <w:r w:rsidRPr="007F3B63">
        <w:rPr>
          <w:rStyle w:val="FootnoteReference"/>
          <w:rFonts w:ascii="Times New Roman" w:hAnsi="Times New Roman" w:cs="Times New Roman"/>
          <w:bCs/>
          <w:i/>
          <w:iCs/>
          <w:sz w:val="24"/>
          <w:szCs w:val="24"/>
        </w:rPr>
        <w:footnoteReference w:id="41"/>
      </w:r>
      <w:r w:rsidRPr="007F3B63">
        <w:rPr>
          <w:rFonts w:ascii="Times New Roman" w:hAnsi="Times New Roman" w:cs="Times New Roman"/>
          <w:sz w:val="24"/>
          <w:szCs w:val="24"/>
        </w:rPr>
        <w:t>the Supreme Court ordered the rel</w:t>
      </w:r>
      <w:r w:rsidR="006B74A1" w:rsidRPr="007F3B63">
        <w:rPr>
          <w:rFonts w:ascii="Times New Roman" w:hAnsi="Times New Roman" w:cs="Times New Roman"/>
          <w:sz w:val="24"/>
          <w:szCs w:val="24"/>
        </w:rPr>
        <w:t>e</w:t>
      </w:r>
      <w:r w:rsidRPr="007F3B63">
        <w:rPr>
          <w:rFonts w:ascii="Times New Roman" w:hAnsi="Times New Roman" w:cs="Times New Roman"/>
          <w:sz w:val="24"/>
          <w:szCs w:val="24"/>
        </w:rPr>
        <w:t xml:space="preserve">ase of the petitioners on their own bond. The court found that the undertrial prisoners were imprisoned for more than seven years without any investigation or laying any challan. The Magistrate had been </w:t>
      </w:r>
      <w:proofErr w:type="spellStart"/>
      <w:r w:rsidRPr="007F3B63">
        <w:rPr>
          <w:rFonts w:ascii="Times New Roman" w:hAnsi="Times New Roman" w:cs="Times New Roman"/>
          <w:sz w:val="24"/>
          <w:szCs w:val="24"/>
        </w:rPr>
        <w:t>authorising</w:t>
      </w:r>
      <w:proofErr w:type="spellEnd"/>
      <w:r w:rsidRPr="007F3B63">
        <w:rPr>
          <w:rFonts w:ascii="Times New Roman" w:hAnsi="Times New Roman" w:cs="Times New Roman"/>
          <w:sz w:val="24"/>
          <w:szCs w:val="24"/>
        </w:rPr>
        <w:t xml:space="preserve"> detention mechanically, thus violating Article 21 of the Constitution and Section 167(2) of the Code. </w:t>
      </w:r>
      <w:r w:rsidRPr="007F3B63">
        <w:rPr>
          <w:rFonts w:ascii="Times New Roman" w:hAnsi="Times New Roman" w:cs="Times New Roman"/>
          <w:i/>
          <w:iCs/>
          <w:sz w:val="24"/>
          <w:szCs w:val="24"/>
        </w:rPr>
        <w:t xml:space="preserve"> </w:t>
      </w:r>
      <w:r w:rsidR="006B74A1" w:rsidRPr="007F3B63">
        <w:rPr>
          <w:rFonts w:ascii="Times New Roman" w:hAnsi="Times New Roman" w:cs="Times New Roman"/>
          <w:i/>
          <w:iCs/>
          <w:sz w:val="24"/>
          <w:szCs w:val="24"/>
        </w:rPr>
        <w:t xml:space="preserve"> </w:t>
      </w:r>
    </w:p>
    <w:p w14:paraId="120512D6" w14:textId="6D5A26AA" w:rsidR="006B74A1" w:rsidRPr="007F3B63" w:rsidRDefault="00CD4C86"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 xml:space="preserve">In the case of </w:t>
      </w:r>
      <w:r w:rsidRPr="007F3B63">
        <w:rPr>
          <w:rFonts w:ascii="Times New Roman" w:hAnsi="Times New Roman" w:cs="Times New Roman"/>
          <w:bCs/>
          <w:i/>
          <w:iCs/>
          <w:sz w:val="24"/>
          <w:szCs w:val="24"/>
          <w:lang w:bidi="hi-IN"/>
        </w:rPr>
        <w:t>Uday Mohanlal Acharya</w:t>
      </w:r>
      <w:r w:rsidR="00342777" w:rsidRPr="007F3B63">
        <w:rPr>
          <w:rFonts w:ascii="Times New Roman" w:hAnsi="Times New Roman" w:cs="Times New Roman"/>
          <w:bCs/>
          <w:sz w:val="24"/>
          <w:szCs w:val="24"/>
          <w:lang w:bidi="hi-IN"/>
        </w:rPr>
        <w:t xml:space="preserve"> v</w:t>
      </w:r>
      <w:r w:rsidRPr="007F3B63">
        <w:rPr>
          <w:rFonts w:ascii="Times New Roman" w:hAnsi="Times New Roman" w:cs="Times New Roman"/>
          <w:bCs/>
          <w:sz w:val="24"/>
          <w:szCs w:val="24"/>
          <w:lang w:bidi="hi-IN"/>
        </w:rPr>
        <w:t xml:space="preserve">. </w:t>
      </w:r>
      <w:r w:rsidRPr="007F3B63">
        <w:rPr>
          <w:rFonts w:ascii="Times New Roman" w:hAnsi="Times New Roman" w:cs="Times New Roman"/>
          <w:bCs/>
          <w:i/>
          <w:iCs/>
          <w:sz w:val="24"/>
          <w:szCs w:val="24"/>
          <w:lang w:bidi="hi-IN"/>
        </w:rPr>
        <w:t xml:space="preserve">State of </w:t>
      </w:r>
      <w:proofErr w:type="spellStart"/>
      <w:r w:rsidRPr="007F3B63">
        <w:rPr>
          <w:rFonts w:ascii="Times New Roman" w:hAnsi="Times New Roman" w:cs="Times New Roman"/>
          <w:bCs/>
          <w:i/>
          <w:iCs/>
          <w:sz w:val="24"/>
          <w:szCs w:val="24"/>
          <w:lang w:bidi="hi-IN"/>
        </w:rPr>
        <w:t>Mahatrahstra</w:t>
      </w:r>
      <w:proofErr w:type="spellEnd"/>
      <w:r w:rsidRPr="007F3B63">
        <w:rPr>
          <w:rFonts w:ascii="Times New Roman" w:hAnsi="Times New Roman" w:cs="Times New Roman"/>
          <w:bCs/>
          <w:sz w:val="24"/>
          <w:szCs w:val="24"/>
          <w:lang w:bidi="hi-IN"/>
        </w:rPr>
        <w:t>,</w:t>
      </w:r>
      <w:r w:rsidRPr="007F3B63">
        <w:rPr>
          <w:rStyle w:val="FootnoteReference"/>
          <w:rFonts w:ascii="Times New Roman" w:hAnsi="Times New Roman" w:cs="Times New Roman"/>
          <w:b/>
          <w:bCs/>
          <w:sz w:val="24"/>
          <w:szCs w:val="24"/>
          <w:lang w:bidi="hi-IN"/>
        </w:rPr>
        <w:footnoteReference w:id="42"/>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 xml:space="preserve">the </w:t>
      </w:r>
      <w:proofErr w:type="spellStart"/>
      <w:r w:rsidRPr="007F3B63">
        <w:rPr>
          <w:rFonts w:ascii="Times New Roman" w:hAnsi="Times New Roman" w:cs="Times New Roman"/>
          <w:sz w:val="24"/>
          <w:szCs w:val="24"/>
          <w:lang w:bidi="hi-IN"/>
        </w:rPr>
        <w:t>Honourable</w:t>
      </w:r>
      <w:proofErr w:type="spellEnd"/>
      <w:r w:rsidRPr="007F3B63">
        <w:rPr>
          <w:rFonts w:ascii="Times New Roman" w:hAnsi="Times New Roman" w:cs="Times New Roman"/>
          <w:sz w:val="24"/>
          <w:szCs w:val="24"/>
          <w:lang w:bidi="hi-IN"/>
        </w:rPr>
        <w:t xml:space="preserve"> Apex court has held that where a charge</w:t>
      </w:r>
      <w:r w:rsidRPr="007F3B63">
        <w:rPr>
          <w:rFonts w:ascii="Times New Roman" w:hAnsi="Times New Roman" w:cs="Times New Roman"/>
          <w:bCs/>
          <w:sz w:val="24"/>
          <w:szCs w:val="24"/>
          <w:lang w:bidi="hi-IN"/>
        </w:rPr>
        <w:t xml:space="preserve"> </w:t>
      </w:r>
      <w:r w:rsidRPr="007F3B63">
        <w:rPr>
          <w:rFonts w:ascii="Times New Roman" w:hAnsi="Times New Roman" w:cs="Times New Roman"/>
          <w:sz w:val="24"/>
          <w:szCs w:val="24"/>
          <w:lang w:bidi="hi-IN"/>
        </w:rPr>
        <w:t>sheet is not filed within requisite period of 60 days the accused is entitled to indefeasible right to be released on bail.</w:t>
      </w:r>
    </w:p>
    <w:p w14:paraId="67B05CB4" w14:textId="77777777" w:rsidR="00260615" w:rsidRPr="007F3B63" w:rsidRDefault="006B74A1"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t>Thus provisions related to the term of remand of accused in the custody is specifically given under CrPC to which courts in India strictly adheres to. CrPC has specified period of time and duration and thus leaves no scope for the judiciary extend the remand period on its whims and fancies.</w:t>
      </w:r>
      <w:r w:rsidR="00D838F1" w:rsidRPr="007F3B63">
        <w:rPr>
          <w:rFonts w:ascii="Times New Roman" w:hAnsi="Times New Roman" w:cs="Times New Roman"/>
          <w:sz w:val="24"/>
          <w:szCs w:val="24"/>
          <w:lang w:bidi="hi-IN"/>
        </w:rPr>
        <w:t xml:space="preserve"> </w:t>
      </w:r>
    </w:p>
    <w:p w14:paraId="26098C2A" w14:textId="368A426B" w:rsidR="006B74A1" w:rsidRPr="007F3B63" w:rsidRDefault="00CD4C86" w:rsidP="007F3B63">
      <w:pPr>
        <w:spacing w:line="360" w:lineRule="auto"/>
        <w:rPr>
          <w:rFonts w:ascii="Times New Roman" w:hAnsi="Times New Roman" w:cs="Times New Roman"/>
          <w:b/>
          <w:sz w:val="28"/>
          <w:szCs w:val="28"/>
          <w:u w:val="single"/>
          <w:lang w:bidi="hi-IN"/>
        </w:rPr>
      </w:pPr>
      <w:r w:rsidRPr="007F3B63">
        <w:rPr>
          <w:rFonts w:ascii="Times New Roman" w:hAnsi="Times New Roman" w:cs="Times New Roman"/>
          <w:b/>
          <w:sz w:val="28"/>
          <w:szCs w:val="28"/>
          <w:u w:val="single"/>
        </w:rPr>
        <w:t xml:space="preserve"> </w:t>
      </w:r>
      <w:r w:rsidR="00260615" w:rsidRPr="007F3B63">
        <w:rPr>
          <w:rFonts w:ascii="Times New Roman" w:hAnsi="Times New Roman" w:cs="Times New Roman"/>
          <w:b/>
          <w:sz w:val="28"/>
          <w:szCs w:val="28"/>
          <w:u w:val="single"/>
          <w:lang w:bidi="hi-IN"/>
        </w:rPr>
        <w:t>6</w:t>
      </w:r>
      <w:r w:rsidR="0024109A" w:rsidRPr="007F3B63">
        <w:rPr>
          <w:rFonts w:ascii="Times New Roman" w:hAnsi="Times New Roman" w:cs="Times New Roman"/>
          <w:b/>
          <w:sz w:val="28"/>
          <w:szCs w:val="28"/>
          <w:u w:val="single"/>
          <w:lang w:bidi="hi-IN"/>
        </w:rPr>
        <w:t>.</w:t>
      </w:r>
      <w:r w:rsidR="00342777" w:rsidRPr="007F3B63">
        <w:rPr>
          <w:rFonts w:ascii="Times New Roman" w:hAnsi="Times New Roman" w:cs="Times New Roman"/>
          <w:b/>
          <w:sz w:val="28"/>
          <w:szCs w:val="28"/>
          <w:u w:val="single"/>
          <w:lang w:bidi="hi-IN"/>
        </w:rPr>
        <w:t xml:space="preserve">  </w:t>
      </w:r>
      <w:r w:rsidR="0024109A" w:rsidRPr="007F3B63">
        <w:rPr>
          <w:rFonts w:ascii="Times New Roman" w:hAnsi="Times New Roman" w:cs="Times New Roman"/>
          <w:b/>
          <w:sz w:val="28"/>
          <w:szCs w:val="28"/>
          <w:u w:val="single"/>
          <w:lang w:bidi="hi-IN"/>
        </w:rPr>
        <w:t>Conclusion</w:t>
      </w:r>
    </w:p>
    <w:p w14:paraId="5752EC44" w14:textId="77777777" w:rsidR="00C85552" w:rsidRPr="007F3B63" w:rsidRDefault="0024109A" w:rsidP="007F3B63">
      <w:pPr>
        <w:spacing w:line="360" w:lineRule="auto"/>
        <w:rPr>
          <w:rFonts w:ascii="Times New Roman" w:hAnsi="Times New Roman" w:cs="Times New Roman"/>
          <w:color w:val="000000" w:themeColor="text1"/>
          <w:sz w:val="24"/>
          <w:szCs w:val="24"/>
        </w:rPr>
      </w:pPr>
      <w:r w:rsidRPr="007F3B63">
        <w:rPr>
          <w:rFonts w:ascii="Times New Roman" w:hAnsi="Times New Roman" w:cs="Times New Roman"/>
          <w:color w:val="000000" w:themeColor="text1"/>
          <w:sz w:val="24"/>
          <w:szCs w:val="24"/>
        </w:rPr>
        <w:t xml:space="preserve">The law relating to remand is clearly defined in the </w:t>
      </w:r>
      <w:proofErr w:type="spellStart"/>
      <w:r w:rsidRPr="007F3B63">
        <w:rPr>
          <w:rFonts w:ascii="Times New Roman" w:hAnsi="Times New Roman" w:cs="Times New Roman"/>
          <w:color w:val="000000" w:themeColor="text1"/>
          <w:sz w:val="24"/>
          <w:szCs w:val="24"/>
        </w:rPr>
        <w:t>Cr.P.C</w:t>
      </w:r>
      <w:proofErr w:type="spellEnd"/>
      <w:r w:rsidRPr="007F3B63">
        <w:rPr>
          <w:rFonts w:ascii="Times New Roman" w:hAnsi="Times New Roman" w:cs="Times New Roman"/>
          <w:color w:val="000000" w:themeColor="text1"/>
          <w:sz w:val="24"/>
          <w:szCs w:val="24"/>
        </w:rPr>
        <w:t>. But as is the case with most of the Indian laws, the provisions on paper look impeccable but there is a need bring the practice in conformity with what is supposed to be practiced as per the legal provisions.</w:t>
      </w:r>
      <w:r w:rsidR="0051602B" w:rsidRPr="007F3B63">
        <w:rPr>
          <w:rFonts w:ascii="Times New Roman" w:hAnsi="Times New Roman" w:cs="Times New Roman"/>
          <w:color w:val="000000" w:themeColor="text1"/>
          <w:sz w:val="24"/>
          <w:szCs w:val="24"/>
        </w:rPr>
        <w:t xml:space="preserve"> </w:t>
      </w:r>
      <w:r w:rsidR="00C85552" w:rsidRPr="007F3B63">
        <w:rPr>
          <w:rFonts w:ascii="Times New Roman" w:hAnsi="Times New Roman" w:cs="Times New Roman"/>
          <w:color w:val="000000" w:themeColor="text1"/>
          <w:sz w:val="24"/>
          <w:szCs w:val="24"/>
        </w:rPr>
        <w:t xml:space="preserve">India has ratified ICCPR which makes it obligatory upon it to make its domestic legislation in consonance with the provisions of the convention. India has incorporated the provisions related to rights of person in </w:t>
      </w:r>
      <w:r w:rsidR="00C85552" w:rsidRPr="007F3B63">
        <w:rPr>
          <w:rFonts w:ascii="Times New Roman" w:hAnsi="Times New Roman" w:cs="Times New Roman"/>
          <w:color w:val="000000" w:themeColor="text1"/>
          <w:sz w:val="24"/>
          <w:szCs w:val="24"/>
        </w:rPr>
        <w:lastRenderedPageBreak/>
        <w:t>custody as a result of its obligation in the form of section 167 (2)A whereas provisions dealing with reasonableness and time period were alr</w:t>
      </w:r>
      <w:r w:rsidR="0051602B" w:rsidRPr="007F3B63">
        <w:rPr>
          <w:rFonts w:ascii="Times New Roman" w:hAnsi="Times New Roman" w:cs="Times New Roman"/>
          <w:color w:val="000000" w:themeColor="text1"/>
          <w:sz w:val="24"/>
          <w:szCs w:val="24"/>
        </w:rPr>
        <w:t>eady existing under the code. In fact i</w:t>
      </w:r>
      <w:r w:rsidR="00C85552" w:rsidRPr="007F3B63">
        <w:rPr>
          <w:rFonts w:ascii="Times New Roman" w:hAnsi="Times New Roman" w:cs="Times New Roman"/>
          <w:color w:val="000000" w:themeColor="text1"/>
          <w:sz w:val="24"/>
          <w:szCs w:val="24"/>
        </w:rPr>
        <w:t xml:space="preserve">t would not be wrong to say that India has specific codified provisions under </w:t>
      </w:r>
      <w:proofErr w:type="spellStart"/>
      <w:r w:rsidR="00C85552" w:rsidRPr="007F3B63">
        <w:rPr>
          <w:rFonts w:ascii="Times New Roman" w:hAnsi="Times New Roman" w:cs="Times New Roman"/>
          <w:color w:val="000000" w:themeColor="text1"/>
          <w:sz w:val="24"/>
          <w:szCs w:val="24"/>
        </w:rPr>
        <w:t>Cr</w:t>
      </w:r>
      <w:r w:rsidR="00E758C6" w:rsidRPr="007F3B63">
        <w:rPr>
          <w:rFonts w:ascii="Times New Roman" w:hAnsi="Times New Roman" w:cs="Times New Roman"/>
          <w:color w:val="000000" w:themeColor="text1"/>
          <w:sz w:val="24"/>
          <w:szCs w:val="24"/>
        </w:rPr>
        <w:t>.</w:t>
      </w:r>
      <w:r w:rsidR="00C85552" w:rsidRPr="007F3B63">
        <w:rPr>
          <w:rFonts w:ascii="Times New Roman" w:hAnsi="Times New Roman" w:cs="Times New Roman"/>
          <w:color w:val="000000" w:themeColor="text1"/>
          <w:sz w:val="24"/>
          <w:szCs w:val="24"/>
        </w:rPr>
        <w:t>P</w:t>
      </w:r>
      <w:r w:rsidR="00E758C6" w:rsidRPr="007F3B63">
        <w:rPr>
          <w:rFonts w:ascii="Times New Roman" w:hAnsi="Times New Roman" w:cs="Times New Roman"/>
          <w:color w:val="000000" w:themeColor="text1"/>
          <w:sz w:val="24"/>
          <w:szCs w:val="24"/>
        </w:rPr>
        <w:t>.</w:t>
      </w:r>
      <w:r w:rsidR="00C85552" w:rsidRPr="007F3B63">
        <w:rPr>
          <w:rFonts w:ascii="Times New Roman" w:hAnsi="Times New Roman" w:cs="Times New Roman"/>
          <w:color w:val="000000" w:themeColor="text1"/>
          <w:sz w:val="24"/>
          <w:szCs w:val="24"/>
        </w:rPr>
        <w:t>C</w:t>
      </w:r>
      <w:proofErr w:type="spellEnd"/>
      <w:r w:rsidR="00E758C6" w:rsidRPr="007F3B63">
        <w:rPr>
          <w:rFonts w:ascii="Times New Roman" w:hAnsi="Times New Roman" w:cs="Times New Roman"/>
          <w:color w:val="000000" w:themeColor="text1"/>
          <w:sz w:val="24"/>
          <w:szCs w:val="24"/>
        </w:rPr>
        <w:t>.</w:t>
      </w:r>
      <w:r w:rsidR="00C85552" w:rsidRPr="007F3B63">
        <w:rPr>
          <w:rFonts w:ascii="Times New Roman" w:hAnsi="Times New Roman" w:cs="Times New Roman"/>
          <w:color w:val="000000" w:themeColor="text1"/>
          <w:sz w:val="24"/>
          <w:szCs w:val="24"/>
        </w:rPr>
        <w:t xml:space="preserve"> which are step ahead of what has been prescribed under article </w:t>
      </w:r>
      <w:r w:rsidR="0051602B" w:rsidRPr="007F3B63">
        <w:rPr>
          <w:rFonts w:ascii="Times New Roman" w:hAnsi="Times New Roman" w:cs="Times New Roman"/>
          <w:color w:val="000000" w:themeColor="text1"/>
          <w:sz w:val="24"/>
          <w:szCs w:val="24"/>
        </w:rPr>
        <w:t xml:space="preserve">9 para 3 of the convention. </w:t>
      </w:r>
      <w:r w:rsidR="00E758C6" w:rsidRPr="007F3B63">
        <w:rPr>
          <w:rFonts w:ascii="Times New Roman" w:hAnsi="Times New Roman" w:cs="Times New Roman"/>
          <w:color w:val="000000" w:themeColor="text1"/>
          <w:sz w:val="24"/>
          <w:szCs w:val="24"/>
        </w:rPr>
        <w:t xml:space="preserve"> As section 167 clearly mentions the time period which should be adhered to while sending the accused on remand. </w:t>
      </w:r>
    </w:p>
    <w:p w14:paraId="233ED1B5" w14:textId="77777777" w:rsidR="00E758C6" w:rsidRPr="007F3B63" w:rsidRDefault="00E758C6" w:rsidP="007F3B63">
      <w:pPr>
        <w:spacing w:line="360" w:lineRule="auto"/>
        <w:rPr>
          <w:rFonts w:ascii="Times New Roman" w:hAnsi="Times New Roman" w:cs="Times New Roman"/>
          <w:color w:val="000000" w:themeColor="text1"/>
          <w:sz w:val="24"/>
          <w:szCs w:val="24"/>
        </w:rPr>
      </w:pPr>
    </w:p>
    <w:p w14:paraId="3BFFE0E6" w14:textId="77777777" w:rsidR="00E758C6" w:rsidRPr="007F3B63" w:rsidRDefault="00E758C6" w:rsidP="007F3B63">
      <w:pPr>
        <w:spacing w:line="360" w:lineRule="auto"/>
        <w:rPr>
          <w:rFonts w:ascii="Times New Roman" w:hAnsi="Times New Roman" w:cs="Times New Roman"/>
          <w:color w:val="000000" w:themeColor="text1"/>
          <w:sz w:val="24"/>
          <w:szCs w:val="24"/>
        </w:rPr>
      </w:pPr>
      <w:r w:rsidRPr="007F3B63">
        <w:rPr>
          <w:rFonts w:ascii="Times New Roman" w:hAnsi="Times New Roman" w:cs="Times New Roman"/>
          <w:color w:val="000000" w:themeColor="text1"/>
          <w:sz w:val="24"/>
          <w:szCs w:val="24"/>
        </w:rPr>
        <w:t xml:space="preserve">Further though India is neither a signatory nor a member of European Union but the judiciary in </w:t>
      </w:r>
      <w:proofErr w:type="spellStart"/>
      <w:r w:rsidRPr="007F3B63">
        <w:rPr>
          <w:rFonts w:ascii="Times New Roman" w:hAnsi="Times New Roman" w:cs="Times New Roman"/>
          <w:color w:val="000000" w:themeColor="text1"/>
          <w:sz w:val="24"/>
          <w:szCs w:val="24"/>
        </w:rPr>
        <w:t>india</w:t>
      </w:r>
      <w:proofErr w:type="spellEnd"/>
      <w:r w:rsidRPr="007F3B63">
        <w:rPr>
          <w:rFonts w:ascii="Times New Roman" w:hAnsi="Times New Roman" w:cs="Times New Roman"/>
          <w:color w:val="000000" w:themeColor="text1"/>
          <w:sz w:val="24"/>
          <w:szCs w:val="24"/>
        </w:rPr>
        <w:t xml:space="preserve"> can took help from the decisions passed by ECHR to remove any anomaly if any arises under the domestic law. Its rulings should be considered by courts in India though they are having only persuasive value as while deciding the issue of plea of remand the court should pay much wider respect to the liberty and dignity of the accused. </w:t>
      </w:r>
    </w:p>
    <w:p w14:paraId="6263B0B8" w14:textId="77777777" w:rsidR="0051602B" w:rsidRPr="007F3B63" w:rsidRDefault="0051602B" w:rsidP="007F3B63">
      <w:pPr>
        <w:spacing w:line="360" w:lineRule="auto"/>
        <w:rPr>
          <w:rFonts w:ascii="Times New Roman" w:hAnsi="Times New Roman" w:cs="Times New Roman"/>
          <w:color w:val="000000" w:themeColor="text1"/>
          <w:sz w:val="24"/>
          <w:szCs w:val="24"/>
        </w:rPr>
      </w:pPr>
    </w:p>
    <w:p w14:paraId="257F6287" w14:textId="77777777" w:rsidR="0024109A" w:rsidRPr="007F3B63" w:rsidRDefault="0024109A" w:rsidP="007F3B63">
      <w:pPr>
        <w:spacing w:line="360" w:lineRule="auto"/>
        <w:rPr>
          <w:rFonts w:ascii="Times New Roman" w:hAnsi="Times New Roman" w:cs="Times New Roman"/>
          <w:color w:val="000000" w:themeColor="text1"/>
          <w:sz w:val="24"/>
          <w:szCs w:val="24"/>
        </w:rPr>
      </w:pPr>
      <w:r w:rsidRPr="007F3B63">
        <w:rPr>
          <w:rFonts w:ascii="Times New Roman" w:hAnsi="Times New Roman" w:cs="Times New Roman"/>
          <w:color w:val="000000" w:themeColor="text1"/>
          <w:sz w:val="24"/>
          <w:szCs w:val="24"/>
        </w:rPr>
        <w:t>It becomes clear that the while the law provides for safeguards against abuse, it need to be amended to remove all obscurities and contradiction. The magistrates must also see to the background of the victims before passing orders. Section 167 must also be expanded so that remedies must be available for past illegal detentions or arrest even if in the present case custody is legal. Lastly, the executive must also play a role by ensuring that more and more people are aware of their right.</w:t>
      </w:r>
    </w:p>
    <w:p w14:paraId="22F3AD29" w14:textId="77777777" w:rsidR="006B74A1" w:rsidRPr="007F3B63" w:rsidRDefault="006B74A1" w:rsidP="007F3B63">
      <w:pPr>
        <w:spacing w:line="360" w:lineRule="auto"/>
        <w:rPr>
          <w:rFonts w:ascii="Times New Roman" w:hAnsi="Times New Roman" w:cs="Times New Roman"/>
          <w:color w:val="000000" w:themeColor="text1"/>
          <w:sz w:val="24"/>
          <w:szCs w:val="24"/>
        </w:rPr>
      </w:pPr>
      <w:r w:rsidRPr="007F3B63">
        <w:rPr>
          <w:rFonts w:ascii="Times New Roman" w:hAnsi="Times New Roman" w:cs="Times New Roman"/>
          <w:color w:val="000000" w:themeColor="text1"/>
          <w:sz w:val="24"/>
          <w:szCs w:val="24"/>
        </w:rPr>
        <w:t xml:space="preserve">The void which exists in relation to provision regarding remand is </w:t>
      </w:r>
      <w:r w:rsidR="001F7646" w:rsidRPr="007F3B63">
        <w:rPr>
          <w:rFonts w:ascii="Times New Roman" w:hAnsi="Times New Roman" w:cs="Times New Roman"/>
          <w:color w:val="000000" w:themeColor="text1"/>
          <w:sz w:val="24"/>
          <w:szCs w:val="24"/>
        </w:rPr>
        <w:t xml:space="preserve">the violation of accused’s right live with dignity and protection from bodily harm even in custody. The use of torture by the authorities especially in police custody is flagrant violation of both international conventions such ICCPR along with the constitutional provisions. India must ratify the Convention against torture(CAT) and bring necessary amendments in its domestic laws in consonance with the convention, then only the accused on remand would be capable of protection from physical and mental injury. </w:t>
      </w:r>
      <w:r w:rsidR="001800CB" w:rsidRPr="007F3B63">
        <w:rPr>
          <w:rFonts w:ascii="Times New Roman" w:hAnsi="Times New Roman" w:cs="Times New Roman"/>
          <w:color w:val="000000" w:themeColor="text1"/>
          <w:sz w:val="24"/>
          <w:szCs w:val="24"/>
        </w:rPr>
        <w:t xml:space="preserve">   </w:t>
      </w:r>
    </w:p>
    <w:p w14:paraId="7946C8BF" w14:textId="77777777" w:rsidR="0024109A" w:rsidRPr="007F3B63" w:rsidRDefault="0024109A" w:rsidP="007F3B63">
      <w:pPr>
        <w:spacing w:line="360" w:lineRule="auto"/>
        <w:rPr>
          <w:rFonts w:ascii="Times New Roman" w:hAnsi="Times New Roman" w:cs="Times New Roman"/>
          <w:sz w:val="24"/>
          <w:szCs w:val="24"/>
          <w:lang w:bidi="hi-IN"/>
        </w:rPr>
      </w:pPr>
      <w:r w:rsidRPr="007F3B63">
        <w:rPr>
          <w:rFonts w:ascii="Times New Roman" w:hAnsi="Times New Roman" w:cs="Times New Roman"/>
          <w:sz w:val="24"/>
          <w:szCs w:val="24"/>
          <w:lang w:bidi="hi-IN"/>
        </w:rPr>
        <w:lastRenderedPageBreak/>
        <w:t xml:space="preserve">The role of a magistrate is of prime importance with reference to remand of an accused. He has to strike a balance between the rights of an accused and the need for an expeditious and impartial investigation. A magistrate should apply his judicial mind and should not merely mechanically order remand in every case, only then this beautifully drafted provision of the </w:t>
      </w:r>
      <w:proofErr w:type="spellStart"/>
      <w:r w:rsidRPr="007F3B63">
        <w:rPr>
          <w:rFonts w:ascii="Times New Roman" w:hAnsi="Times New Roman" w:cs="Times New Roman"/>
          <w:sz w:val="24"/>
          <w:szCs w:val="24"/>
          <w:lang w:bidi="hi-IN"/>
        </w:rPr>
        <w:t>Cr.P.C</w:t>
      </w:r>
      <w:proofErr w:type="spellEnd"/>
      <w:r w:rsidRPr="007F3B63">
        <w:rPr>
          <w:rFonts w:ascii="Times New Roman" w:hAnsi="Times New Roman" w:cs="Times New Roman"/>
          <w:sz w:val="24"/>
          <w:szCs w:val="24"/>
          <w:lang w:bidi="hi-IN"/>
        </w:rPr>
        <w:t>. can serve its purpose of ensuring a fair investigation and ultimately upholding the ideals of justice.</w:t>
      </w:r>
      <w:r w:rsidR="003D29DA" w:rsidRPr="007F3B63">
        <w:rPr>
          <w:rFonts w:ascii="Times New Roman" w:hAnsi="Times New Roman" w:cs="Times New Roman"/>
          <w:sz w:val="24"/>
          <w:szCs w:val="24"/>
          <w:lang w:bidi="hi-IN"/>
        </w:rPr>
        <w:t xml:space="preserve"> </w:t>
      </w:r>
    </w:p>
    <w:p w14:paraId="2B9032D6" w14:textId="77777777" w:rsidR="0024109A" w:rsidRPr="007F3B63" w:rsidRDefault="0024109A" w:rsidP="007F3B63">
      <w:pPr>
        <w:spacing w:line="360" w:lineRule="auto"/>
        <w:rPr>
          <w:rFonts w:ascii="Times New Roman" w:hAnsi="Times New Roman" w:cs="Times New Roman"/>
          <w:sz w:val="24"/>
          <w:szCs w:val="24"/>
        </w:rPr>
      </w:pPr>
    </w:p>
    <w:p w14:paraId="55FB0180" w14:textId="77777777" w:rsidR="00445EA5" w:rsidRPr="007F3B63" w:rsidRDefault="00445EA5" w:rsidP="007F3B63">
      <w:pPr>
        <w:spacing w:line="360" w:lineRule="auto"/>
        <w:rPr>
          <w:rFonts w:ascii="Times New Roman" w:hAnsi="Times New Roman" w:cs="Times New Roman"/>
          <w:sz w:val="24"/>
          <w:szCs w:val="24"/>
        </w:rPr>
      </w:pPr>
    </w:p>
    <w:p w14:paraId="19756976" w14:textId="77777777" w:rsidR="006B74A1" w:rsidRPr="007F3B63" w:rsidRDefault="006B74A1" w:rsidP="007F3B63">
      <w:pPr>
        <w:spacing w:line="360" w:lineRule="auto"/>
        <w:rPr>
          <w:rFonts w:ascii="Times New Roman" w:hAnsi="Times New Roman" w:cs="Times New Roman"/>
          <w:sz w:val="24"/>
          <w:szCs w:val="24"/>
        </w:rPr>
      </w:pPr>
    </w:p>
    <w:p w14:paraId="485BA52A" w14:textId="77777777" w:rsidR="006B74A1" w:rsidRPr="007F3B63" w:rsidRDefault="006B74A1" w:rsidP="007F3B63">
      <w:pPr>
        <w:spacing w:line="360" w:lineRule="auto"/>
        <w:rPr>
          <w:rFonts w:ascii="Times New Roman" w:hAnsi="Times New Roman" w:cs="Times New Roman"/>
          <w:sz w:val="24"/>
          <w:szCs w:val="24"/>
        </w:rPr>
      </w:pPr>
    </w:p>
    <w:sectPr w:rsidR="006B74A1" w:rsidRPr="007F3B63" w:rsidSect="007F3B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54A7" w14:textId="77777777" w:rsidR="0082746E" w:rsidRDefault="0082746E" w:rsidP="00153B9B">
      <w:pPr>
        <w:spacing w:after="0" w:line="240" w:lineRule="auto"/>
      </w:pPr>
      <w:r>
        <w:separator/>
      </w:r>
    </w:p>
  </w:endnote>
  <w:endnote w:type="continuationSeparator" w:id="0">
    <w:p w14:paraId="7F4C5110" w14:textId="77777777" w:rsidR="0082746E" w:rsidRDefault="0082746E" w:rsidP="0015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0E5" w14:textId="77777777" w:rsidR="007F3B63" w:rsidRDefault="007F3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981626"/>
      <w:docPartObj>
        <w:docPartGallery w:val="Page Numbers (Bottom of Page)"/>
        <w:docPartUnique/>
      </w:docPartObj>
    </w:sdtPr>
    <w:sdtContent>
      <w:p w14:paraId="452E9946" w14:textId="77777777" w:rsidR="007F3B63" w:rsidRDefault="007F3B63" w:rsidP="007F3B63">
        <w:pPr>
          <w:pStyle w:val="Footer"/>
        </w:pPr>
      </w:p>
      <w:p w14:paraId="27BAE6BA" w14:textId="5B2ADC26" w:rsidR="007F3B63" w:rsidRDefault="007F3B63" w:rsidP="007F3B63">
        <w:pPr>
          <w:pStyle w:val="BodyText"/>
          <w:tabs>
            <w:tab w:val="left" w:pos="6000"/>
          </w:tabs>
          <w:spacing w:before="2"/>
          <w:ind w:left="0"/>
          <w:rPr>
            <w:i/>
          </w:rPr>
        </w:pPr>
        <w:r>
          <w:rPr>
            <w:noProof/>
          </w:rPr>
          <w:pict w14:anchorId="22A2D0A4">
            <v:shape id="Freeform: Shape 20" o:spid="_x0000_s1032" style="position:absolute;margin-left:83.1pt;margin-top:681.2pt;width:454.45pt;height:4.5pt;z-index:-25165414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w:r>
        <w:r>
          <w:rPr>
            <w:i/>
          </w:rPr>
          <w:tab/>
        </w:r>
      </w:p>
      <w:p w14:paraId="483239C6" w14:textId="2F1BEF10" w:rsidR="007F3B63" w:rsidRDefault="007F3B63" w:rsidP="007F3B63">
        <w:pPr>
          <w:pStyle w:val="BodyText"/>
          <w:spacing w:line="14" w:lineRule="auto"/>
          <w:rPr>
            <w:sz w:val="20"/>
          </w:rPr>
        </w:pPr>
        <w:r>
          <w:rPr>
            <w:noProof/>
          </w:rPr>
          <w:pict w14:anchorId="122BA314">
            <v:shape id="Freeform: Shape 53" o:spid="_x0000_s1031" style="position:absolute;left:0;text-align:left;margin-left:70.5pt;margin-top:50.05pt;width:454.4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w:r>
        <w:r>
          <w:rPr>
            <w:noProof/>
          </w:rPr>
          <w:pict w14:anchorId="2679C080">
            <v:shapetype id="_x0000_t202" coordsize="21600,21600" o:spt="202" path="m,l,21600r21600,l21600,xe">
              <v:stroke joinstyle="miter"/>
              <v:path gradientshapeok="t" o:connecttype="rect"/>
            </v:shapetype>
            <v:shape id="Text Box 52" o:spid="_x0000_s1030" type="#_x0000_t202" style="position:absolute;left:0;text-align:left;margin-left:71pt;margin-top:32.95pt;width:219.9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68D9A69E" w14:textId="77777777" w:rsidR="007F3B63" w:rsidRDefault="007F3B63" w:rsidP="007F3B63">
                    <w:pPr>
                      <w:pStyle w:val="BodyText"/>
                      <w:spacing w:before="10"/>
                      <w:ind w:left="20"/>
                    </w:pPr>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p>
                </w:txbxContent>
              </v:textbox>
              <w10:wrap anchorx="page" anchory="page"/>
            </v:shape>
          </w:pict>
        </w:r>
        <w:r>
          <w:rPr>
            <w:noProof/>
          </w:rPr>
          <w:pict w14:anchorId="6EE4A661">
            <v:shape id="Text Box 51" o:spid="_x0000_s1029" type="#_x0000_t202" style="position:absolute;left:0;text-align:left;margin-left:424.7pt;margin-top:32.95pt;width:93.7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00D9F8E8" w14:textId="77777777" w:rsidR="007F3B63" w:rsidRDefault="007F3B63" w:rsidP="007F3B63">
                    <w:pPr>
                      <w:pStyle w:val="BodyText"/>
                      <w:spacing w:before="10"/>
                      <w:ind w:left="20"/>
                    </w:pPr>
                    <w:bookmarkStart w:id="1" w:name="_Hlk126877621"/>
                    <w:bookmarkStart w:id="2" w:name="_Hlk126877622"/>
                    <w:r>
                      <w:t>“ISSN</w:t>
                    </w:r>
                    <w:r>
                      <w:rPr>
                        <w:spacing w:val="-2"/>
                      </w:rPr>
                      <w:t xml:space="preserve"> </w:t>
                    </w:r>
                    <w:r>
                      <w:t>2455-2488”</w:t>
                    </w:r>
                    <w:bookmarkEnd w:id="1"/>
                    <w:bookmarkEnd w:id="2"/>
                  </w:p>
                </w:txbxContent>
              </v:textbox>
              <w10:wrap anchorx="page" anchory="page"/>
            </v:shape>
          </w:pict>
        </w:r>
      </w:p>
      <w:p w14:paraId="49DF305A" w14:textId="77777777" w:rsidR="007F3B63" w:rsidRPr="004C7278" w:rsidRDefault="007F3B63" w:rsidP="007F3B63">
        <w:pPr>
          <w:pStyle w:val="Footer"/>
        </w:pPr>
        <w:r>
          <w:t xml:space="preserve">Volume 29 , { September } , 2022                                                                                                       </w:t>
        </w:r>
        <w:sdt>
          <w:sdtPr>
            <w:id w:val="11696190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p>
      <w:p w14:paraId="124EDB38" w14:textId="77777777" w:rsidR="007F3B63" w:rsidRDefault="007F3B63" w:rsidP="007F3B63"/>
      <w:p w14:paraId="76EDA23A" w14:textId="763CA3BF" w:rsidR="009413C6" w:rsidRDefault="00000000" w:rsidP="007F3B63">
        <w:pPr>
          <w:pStyle w:val="Footer"/>
        </w:pPr>
      </w:p>
    </w:sdtContent>
  </w:sdt>
  <w:p w14:paraId="15758A4D" w14:textId="77777777" w:rsidR="009413C6" w:rsidRDefault="00941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0BF5" w14:textId="77777777" w:rsidR="007F3B63" w:rsidRDefault="007F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8883" w14:textId="77777777" w:rsidR="0082746E" w:rsidRDefault="0082746E" w:rsidP="00153B9B">
      <w:pPr>
        <w:spacing w:after="0" w:line="240" w:lineRule="auto"/>
      </w:pPr>
      <w:r>
        <w:separator/>
      </w:r>
    </w:p>
  </w:footnote>
  <w:footnote w:type="continuationSeparator" w:id="0">
    <w:p w14:paraId="73C4930B" w14:textId="77777777" w:rsidR="0082746E" w:rsidRDefault="0082746E" w:rsidP="00153B9B">
      <w:pPr>
        <w:spacing w:after="0" w:line="240" w:lineRule="auto"/>
      </w:pPr>
      <w:r>
        <w:continuationSeparator/>
      </w:r>
    </w:p>
  </w:footnote>
  <w:footnote w:id="1">
    <w:p w14:paraId="5AA6651D" w14:textId="77777777" w:rsidR="009413C6" w:rsidRPr="00707285" w:rsidRDefault="009413C6" w:rsidP="0045179C">
      <w:pPr>
        <w:pStyle w:val="FootnoteText"/>
      </w:pPr>
      <w:r>
        <w:rPr>
          <w:rStyle w:val="FootnoteReference"/>
        </w:rPr>
        <w:footnoteRef/>
      </w:r>
      <w:r>
        <w:t xml:space="preserve"> “1. </w:t>
      </w:r>
      <w:r w:rsidRPr="009413C6">
        <w:rPr>
          <w:rFonts w:ascii="Times New Roman" w:hAnsi="Times New Roman" w:cs="Times New Roman"/>
        </w:rPr>
        <w:t>Everyone has the right to liberty and security of person. No one shall be subjected to arbitrary arrest or detention. No one shall be deprived of his liberty except on such grounds and in accordance with such procedure as are established by law</w:t>
      </w:r>
      <w:r>
        <w:t xml:space="preserve">.” </w:t>
      </w:r>
    </w:p>
  </w:footnote>
  <w:footnote w:id="2">
    <w:p w14:paraId="3C81DD75" w14:textId="77777777" w:rsidR="009413C6" w:rsidRPr="00740D13" w:rsidRDefault="009413C6" w:rsidP="009413C6">
      <w:pPr>
        <w:pStyle w:val="FootnoteText"/>
        <w:jc w:val="both"/>
      </w:pPr>
      <w:r>
        <w:rPr>
          <w:rStyle w:val="FootnoteReference"/>
        </w:rPr>
        <w:footnoteRef/>
      </w:r>
      <w:r>
        <w:t xml:space="preserve"> </w:t>
      </w:r>
      <w:r w:rsidRPr="009413C6">
        <w:rPr>
          <w:rFonts w:ascii="Times New Roman" w:hAnsi="Times New Roman" w:cs="Times New Roman"/>
        </w:rPr>
        <w:t>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w:t>
      </w:r>
      <w:r>
        <w:t xml:space="preserve">. </w:t>
      </w:r>
    </w:p>
  </w:footnote>
  <w:footnote w:id="3">
    <w:p w14:paraId="5D1995C3" w14:textId="77777777" w:rsidR="00780EF9" w:rsidRPr="00993BD1" w:rsidRDefault="00780EF9" w:rsidP="00553C1B">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993BD1">
        <w:rPr>
          <w:rFonts w:ascii="Times New Roman" w:hAnsi="Times New Roman" w:cs="Times New Roman"/>
          <w:sz w:val="20"/>
          <w:szCs w:val="20"/>
        </w:rPr>
        <w:t>“1. Everyone has the right to liberty and security of person. No one shall</w:t>
      </w:r>
      <w:r w:rsidR="009413C6">
        <w:rPr>
          <w:rFonts w:ascii="Times New Roman" w:hAnsi="Times New Roman" w:cs="Times New Roman"/>
          <w:sz w:val="20"/>
          <w:szCs w:val="20"/>
        </w:rPr>
        <w:t xml:space="preserve"> </w:t>
      </w:r>
      <w:r w:rsidRPr="00993BD1">
        <w:rPr>
          <w:rFonts w:ascii="Times New Roman" w:hAnsi="Times New Roman" w:cs="Times New Roman"/>
          <w:sz w:val="20"/>
          <w:szCs w:val="20"/>
        </w:rPr>
        <w:t>be subjected to arbitrary arrest or detention. No one shall be deprived of</w:t>
      </w:r>
      <w:r w:rsidR="009413C6">
        <w:rPr>
          <w:rFonts w:ascii="Times New Roman" w:hAnsi="Times New Roman" w:cs="Times New Roman"/>
          <w:sz w:val="20"/>
          <w:szCs w:val="20"/>
        </w:rPr>
        <w:t xml:space="preserve"> </w:t>
      </w:r>
      <w:r w:rsidRPr="00993BD1">
        <w:rPr>
          <w:rFonts w:ascii="Times New Roman" w:hAnsi="Times New Roman" w:cs="Times New Roman"/>
          <w:sz w:val="20"/>
          <w:szCs w:val="20"/>
        </w:rPr>
        <w:t>his liberty except on such grounds and in accordance with such procedure</w:t>
      </w:r>
    </w:p>
    <w:p w14:paraId="399345E3" w14:textId="77777777" w:rsidR="009413C6" w:rsidRPr="00553C1B" w:rsidRDefault="009413C6" w:rsidP="00993BD1">
      <w:pPr>
        <w:pStyle w:val="FootnoteText"/>
        <w:rPr>
          <w:rFonts w:ascii="Times New Roman" w:hAnsi="Times New Roman" w:cs="Times New Roman"/>
        </w:rPr>
      </w:pPr>
      <w:r w:rsidRPr="00553C1B">
        <w:rPr>
          <w:rFonts w:ascii="Times New Roman" w:hAnsi="Times New Roman" w:cs="Times New Roman"/>
        </w:rPr>
        <w:t xml:space="preserve">as are established by law.” </w:t>
      </w:r>
    </w:p>
  </w:footnote>
  <w:footnote w:id="4">
    <w:p w14:paraId="61ECEC74" w14:textId="77777777" w:rsidR="009413C6" w:rsidRPr="00553C1B" w:rsidRDefault="009413C6" w:rsidP="00145414">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w:t>
      </w:r>
      <w:r w:rsidRPr="00553C1B">
        <w:rPr>
          <w:rFonts w:ascii="Times New Roman" w:hAnsi="Times New Roman" w:cs="Times New Roman"/>
          <w:i/>
        </w:rPr>
        <w:t>Raj Pal Singh v. State of U.P</w:t>
      </w:r>
      <w:r w:rsidRPr="00553C1B">
        <w:rPr>
          <w:rFonts w:ascii="Times New Roman" w:hAnsi="Times New Roman" w:cs="Times New Roman"/>
        </w:rPr>
        <w:t xml:space="preserve">., 1983 </w:t>
      </w:r>
      <w:proofErr w:type="spellStart"/>
      <w:r w:rsidRPr="00553C1B">
        <w:rPr>
          <w:rFonts w:ascii="Times New Roman" w:hAnsi="Times New Roman" w:cs="Times New Roman"/>
        </w:rPr>
        <w:t>Cr.LJ</w:t>
      </w:r>
      <w:proofErr w:type="spellEnd"/>
      <w:r w:rsidRPr="00553C1B">
        <w:rPr>
          <w:rFonts w:ascii="Times New Roman" w:hAnsi="Times New Roman" w:cs="Times New Roman"/>
        </w:rPr>
        <w:t xml:space="preserve"> 1009 </w:t>
      </w:r>
    </w:p>
  </w:footnote>
  <w:footnote w:id="5">
    <w:p w14:paraId="593819EC" w14:textId="77777777" w:rsidR="009413C6" w:rsidRPr="00553C1B" w:rsidRDefault="009413C6" w:rsidP="00145414">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2002 </w:t>
      </w:r>
      <w:proofErr w:type="spellStart"/>
      <w:r w:rsidRPr="00553C1B">
        <w:rPr>
          <w:rFonts w:ascii="Times New Roman" w:hAnsi="Times New Roman" w:cs="Times New Roman"/>
        </w:rPr>
        <w:t>Cr.LJ</w:t>
      </w:r>
      <w:proofErr w:type="spellEnd"/>
      <w:r w:rsidRPr="00553C1B">
        <w:rPr>
          <w:rFonts w:ascii="Times New Roman" w:hAnsi="Times New Roman" w:cs="Times New Roman"/>
        </w:rPr>
        <w:t xml:space="preserve"> 2907 </w:t>
      </w:r>
    </w:p>
  </w:footnote>
  <w:footnote w:id="6">
    <w:p w14:paraId="58474F45" w14:textId="77777777" w:rsidR="009413C6" w:rsidRPr="00553C1B" w:rsidRDefault="009413C6" w:rsidP="00145414">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w:t>
      </w:r>
      <w:r w:rsidRPr="00553C1B">
        <w:rPr>
          <w:rFonts w:ascii="Times New Roman" w:hAnsi="Times New Roman" w:cs="Times New Roman"/>
          <w:i/>
        </w:rPr>
        <w:t>Babu Singh v. State of U.P</w:t>
      </w:r>
      <w:r w:rsidRPr="00553C1B">
        <w:rPr>
          <w:rFonts w:ascii="Times New Roman" w:hAnsi="Times New Roman" w:cs="Times New Roman"/>
        </w:rPr>
        <w:t xml:space="preserve">., AIR 1978 SC 527. </w:t>
      </w:r>
    </w:p>
  </w:footnote>
  <w:footnote w:id="7">
    <w:p w14:paraId="42B8F06B" w14:textId="77777777" w:rsidR="009413C6" w:rsidRPr="00553C1B" w:rsidRDefault="009413C6" w:rsidP="00145414">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Section 309 (2) proviso, </w:t>
      </w:r>
      <w:proofErr w:type="spellStart"/>
      <w:r w:rsidRPr="00553C1B">
        <w:rPr>
          <w:rFonts w:ascii="Times New Roman" w:hAnsi="Times New Roman" w:cs="Times New Roman"/>
        </w:rPr>
        <w:t>Cr.P.C</w:t>
      </w:r>
      <w:proofErr w:type="spellEnd"/>
      <w:r w:rsidRPr="00553C1B">
        <w:rPr>
          <w:rFonts w:ascii="Times New Roman" w:hAnsi="Times New Roman" w:cs="Times New Roman"/>
        </w:rPr>
        <w:t xml:space="preserve">. </w:t>
      </w:r>
    </w:p>
  </w:footnote>
  <w:footnote w:id="8">
    <w:p w14:paraId="4BEC175B" w14:textId="77777777" w:rsidR="009413C6" w:rsidRPr="00553C1B" w:rsidRDefault="009413C6" w:rsidP="00145414">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Section 309 (1) and (2), </w:t>
      </w:r>
      <w:proofErr w:type="spellStart"/>
      <w:r w:rsidRPr="00553C1B">
        <w:rPr>
          <w:rFonts w:ascii="Times New Roman" w:hAnsi="Times New Roman" w:cs="Times New Roman"/>
        </w:rPr>
        <w:t>Cr.P.C</w:t>
      </w:r>
      <w:proofErr w:type="spellEnd"/>
      <w:r w:rsidRPr="00553C1B">
        <w:rPr>
          <w:rFonts w:ascii="Times New Roman" w:hAnsi="Times New Roman" w:cs="Times New Roman"/>
        </w:rPr>
        <w:t xml:space="preserve">. </w:t>
      </w:r>
    </w:p>
  </w:footnote>
  <w:footnote w:id="9">
    <w:p w14:paraId="3B48D9C5" w14:textId="77777777" w:rsidR="009413C6" w:rsidRPr="00553C1B" w:rsidRDefault="009413C6" w:rsidP="005524B3">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(2000) 10 SCC 438. </w:t>
      </w:r>
    </w:p>
  </w:footnote>
  <w:footnote w:id="10">
    <w:p w14:paraId="74D740FE" w14:textId="77777777" w:rsidR="009413C6" w:rsidRPr="00553C1B" w:rsidRDefault="009413C6">
      <w:pPr>
        <w:pStyle w:val="FootnoteText"/>
        <w:rPr>
          <w:rFonts w:ascii="Times New Roman" w:hAnsi="Times New Roman" w:cs="Times New Roman"/>
        </w:rPr>
      </w:pPr>
      <w:r w:rsidRPr="00553C1B">
        <w:rPr>
          <w:rStyle w:val="FootnoteReference"/>
          <w:rFonts w:ascii="Times New Roman" w:hAnsi="Times New Roman" w:cs="Times New Roman"/>
        </w:rPr>
        <w:footnoteRef/>
      </w:r>
      <w:r w:rsidRPr="00553C1B">
        <w:rPr>
          <w:rFonts w:ascii="Times New Roman" w:hAnsi="Times New Roman" w:cs="Times New Roman"/>
        </w:rPr>
        <w:t xml:space="preserve"> </w:t>
      </w:r>
      <w:proofErr w:type="spellStart"/>
      <w:r w:rsidRPr="00553C1B">
        <w:rPr>
          <w:rFonts w:ascii="Times New Roman" w:hAnsi="Times New Roman" w:cs="Times New Roman"/>
          <w:i/>
        </w:rPr>
        <w:t>Benimadhava</w:t>
      </w:r>
      <w:proofErr w:type="spellEnd"/>
      <w:r w:rsidRPr="00553C1B">
        <w:rPr>
          <w:rFonts w:ascii="Times New Roman" w:hAnsi="Times New Roman" w:cs="Times New Roman"/>
          <w:i/>
        </w:rPr>
        <w:t xml:space="preserve"> v. State of Rajasthan</w:t>
      </w:r>
      <w:r w:rsidRPr="00553C1B">
        <w:rPr>
          <w:rFonts w:ascii="Times New Roman" w:hAnsi="Times New Roman" w:cs="Times New Roman"/>
        </w:rPr>
        <w:t xml:space="preserve">, 1983 </w:t>
      </w:r>
      <w:proofErr w:type="spellStart"/>
      <w:r w:rsidRPr="00553C1B">
        <w:rPr>
          <w:rFonts w:ascii="Times New Roman" w:hAnsi="Times New Roman" w:cs="Times New Roman"/>
        </w:rPr>
        <w:t>CrLJ</w:t>
      </w:r>
      <w:proofErr w:type="spellEnd"/>
      <w:r w:rsidRPr="00553C1B">
        <w:rPr>
          <w:rFonts w:ascii="Times New Roman" w:hAnsi="Times New Roman" w:cs="Times New Roman"/>
        </w:rPr>
        <w:t xml:space="preserve"> 633</w:t>
      </w:r>
    </w:p>
  </w:footnote>
  <w:footnote w:id="11">
    <w:p w14:paraId="00E535BB" w14:textId="77777777" w:rsidR="009413C6" w:rsidRPr="00972BBD" w:rsidRDefault="009413C6" w:rsidP="00BA66ED">
      <w:pPr>
        <w:pStyle w:val="FootnoteText"/>
        <w:rPr>
          <w:rFonts w:ascii="Times New Roman" w:hAnsi="Times New Roman" w:cs="Times New Roman"/>
        </w:rPr>
      </w:pPr>
      <w:r w:rsidRPr="00972BBD">
        <w:rPr>
          <w:rStyle w:val="FootnoteReference"/>
          <w:rFonts w:ascii="Times New Roman" w:hAnsi="Times New Roman" w:cs="Times New Roman"/>
        </w:rPr>
        <w:footnoteRef/>
      </w:r>
      <w:r w:rsidRPr="00972BBD">
        <w:rPr>
          <w:rFonts w:ascii="Times New Roman" w:hAnsi="Times New Roman" w:cs="Times New Roman"/>
        </w:rPr>
        <w:t xml:space="preserve"> http://www.ohchr.org/EN/ProfessionalInterest/Pages/TokyoRules.aspx </w:t>
      </w:r>
    </w:p>
  </w:footnote>
  <w:footnote w:id="12">
    <w:p w14:paraId="744AF84F" w14:textId="77777777" w:rsidR="009413C6" w:rsidRPr="00972BBD" w:rsidRDefault="009413C6">
      <w:pPr>
        <w:pStyle w:val="FootnoteText"/>
        <w:rPr>
          <w:rFonts w:ascii="Times New Roman" w:hAnsi="Times New Roman" w:cs="Times New Roman"/>
        </w:rPr>
      </w:pPr>
      <w:r w:rsidRPr="00972BBD">
        <w:rPr>
          <w:rStyle w:val="FootnoteReference"/>
          <w:rFonts w:ascii="Times New Roman" w:hAnsi="Times New Roman" w:cs="Times New Roman"/>
        </w:rPr>
        <w:footnoteRef/>
      </w:r>
      <w:r w:rsidRPr="00972BBD">
        <w:rPr>
          <w:rFonts w:ascii="Times New Roman" w:hAnsi="Times New Roman" w:cs="Times New Roman"/>
        </w:rPr>
        <w:t xml:space="preserve"> UN doc. E/CN.4/1999/63, </w:t>
      </w:r>
      <w:r w:rsidRPr="00972BBD">
        <w:rPr>
          <w:rFonts w:ascii="Times New Roman" w:hAnsi="Times New Roman" w:cs="Times New Roman"/>
          <w:i/>
          <w:iCs/>
        </w:rPr>
        <w:t>Report of the Working Group on Arbitrary Detention</w:t>
      </w:r>
      <w:r w:rsidRPr="00972BBD">
        <w:rPr>
          <w:rFonts w:ascii="Times New Roman" w:hAnsi="Times New Roman" w:cs="Times New Roman"/>
        </w:rPr>
        <w:t xml:space="preserve">. </w:t>
      </w:r>
    </w:p>
  </w:footnote>
  <w:footnote w:id="13">
    <w:p w14:paraId="7B24E36F" w14:textId="77777777" w:rsidR="009413C6" w:rsidRPr="00972BBD" w:rsidRDefault="009413C6">
      <w:pPr>
        <w:pStyle w:val="FootnoteText"/>
        <w:rPr>
          <w:rFonts w:ascii="Times New Roman" w:hAnsi="Times New Roman" w:cs="Times New Roman"/>
        </w:rPr>
      </w:pPr>
      <w:r w:rsidRPr="00972BBD">
        <w:rPr>
          <w:rStyle w:val="FootnoteReference"/>
          <w:rFonts w:ascii="Times New Roman" w:hAnsi="Times New Roman" w:cs="Times New Roman"/>
        </w:rPr>
        <w:footnoteRef/>
      </w:r>
      <w:r w:rsidRPr="00972BBD">
        <w:rPr>
          <w:rFonts w:ascii="Times New Roman" w:hAnsi="Times New Roman" w:cs="Times New Roman"/>
        </w:rPr>
        <w:t xml:space="preserve"> </w:t>
      </w:r>
      <w:r w:rsidRPr="00972BBD">
        <w:rPr>
          <w:rFonts w:ascii="Times New Roman" w:hAnsi="Times New Roman" w:cs="Times New Roman"/>
          <w:i/>
        </w:rPr>
        <w:t>W v. Switzerland</w:t>
      </w:r>
      <w:r w:rsidRPr="00972BBD">
        <w:rPr>
          <w:rFonts w:ascii="Times New Roman" w:hAnsi="Times New Roman" w:cs="Times New Roman"/>
        </w:rPr>
        <w:t xml:space="preserve">, 30; </w:t>
      </w:r>
      <w:proofErr w:type="spellStart"/>
      <w:r w:rsidRPr="00972BBD">
        <w:rPr>
          <w:rFonts w:ascii="Times New Roman" w:hAnsi="Times New Roman" w:cs="Times New Roman"/>
          <w:i/>
        </w:rPr>
        <w:t>Tomasi</w:t>
      </w:r>
      <w:proofErr w:type="spellEnd"/>
      <w:r w:rsidRPr="00972BBD">
        <w:rPr>
          <w:rFonts w:ascii="Times New Roman" w:hAnsi="Times New Roman" w:cs="Times New Roman"/>
          <w:i/>
        </w:rPr>
        <w:t xml:space="preserve"> v. France</w:t>
      </w:r>
      <w:r w:rsidRPr="00972BBD">
        <w:rPr>
          <w:rFonts w:ascii="Times New Roman" w:hAnsi="Times New Roman" w:cs="Times New Roman"/>
        </w:rPr>
        <w:t xml:space="preserve">, 84; </w:t>
      </w:r>
      <w:r w:rsidRPr="00972BBD">
        <w:rPr>
          <w:rFonts w:ascii="Times New Roman" w:hAnsi="Times New Roman" w:cs="Times New Roman"/>
          <w:i/>
        </w:rPr>
        <w:t>Toth v. Austria</w:t>
      </w:r>
      <w:r w:rsidRPr="00972BBD">
        <w:rPr>
          <w:rFonts w:ascii="Times New Roman" w:hAnsi="Times New Roman" w:cs="Times New Roman"/>
        </w:rPr>
        <w:t xml:space="preserve">, 67 </w:t>
      </w:r>
    </w:p>
  </w:footnote>
  <w:footnote w:id="14">
    <w:p w14:paraId="513624EA" w14:textId="77777777" w:rsidR="009413C6" w:rsidRPr="00972BBD" w:rsidRDefault="009413C6">
      <w:pPr>
        <w:pStyle w:val="FootnoteText"/>
        <w:rPr>
          <w:rFonts w:ascii="Times New Roman" w:hAnsi="Times New Roman" w:cs="Times New Roman"/>
        </w:rPr>
      </w:pPr>
      <w:r w:rsidRPr="00972BBD">
        <w:rPr>
          <w:rStyle w:val="FootnoteReference"/>
          <w:rFonts w:ascii="Times New Roman" w:hAnsi="Times New Roman" w:cs="Times New Roman"/>
        </w:rPr>
        <w:footnoteRef/>
      </w:r>
      <w:r w:rsidRPr="00972BBD">
        <w:rPr>
          <w:rFonts w:ascii="Times New Roman" w:hAnsi="Times New Roman" w:cs="Times New Roman"/>
        </w:rPr>
        <w:t xml:space="preserve"> </w:t>
      </w:r>
      <w:r w:rsidRPr="00972BBD">
        <w:rPr>
          <w:rFonts w:ascii="Times New Roman" w:hAnsi="Times New Roman" w:cs="Times New Roman"/>
          <w:i/>
          <w:iCs/>
        </w:rPr>
        <w:t>Eur. Court HR, Case of Fox, Campbell and Hartley v. the United Kingdom, 30 August 1990, Series A, No. 182</w:t>
      </w:r>
      <w:r w:rsidRPr="00972BBD">
        <w:rPr>
          <w:rFonts w:ascii="Times New Roman" w:hAnsi="Times New Roman" w:cs="Times New Roman"/>
        </w:rPr>
        <w:t>, p. 16, para. 32; emphasis added.</w:t>
      </w:r>
    </w:p>
  </w:footnote>
  <w:footnote w:id="15">
    <w:p w14:paraId="25330E22" w14:textId="77777777" w:rsidR="009413C6" w:rsidRPr="00A91EC8" w:rsidRDefault="009413C6" w:rsidP="00A91EC8">
      <w:pPr>
        <w:autoSpaceDE w:val="0"/>
        <w:autoSpaceDN w:val="0"/>
        <w:adjustRightInd w:val="0"/>
        <w:spacing w:after="0" w:line="240" w:lineRule="auto"/>
        <w:rPr>
          <w:rFonts w:ascii="Garamond" w:hAnsi="Garamond" w:cs="Garamond"/>
          <w:sz w:val="18"/>
          <w:szCs w:val="18"/>
        </w:rPr>
      </w:pPr>
      <w:r w:rsidRPr="00A91EC8">
        <w:rPr>
          <w:rStyle w:val="FootnoteReference"/>
          <w:rFonts w:ascii="Times New Roman" w:hAnsi="Times New Roman" w:cs="Times New Roman"/>
          <w:sz w:val="20"/>
          <w:szCs w:val="20"/>
        </w:rPr>
        <w:footnoteRef/>
      </w:r>
      <w:r w:rsidRPr="00A91EC8">
        <w:rPr>
          <w:rFonts w:ascii="Times New Roman" w:hAnsi="Times New Roman" w:cs="Times New Roman"/>
          <w:sz w:val="20"/>
          <w:szCs w:val="20"/>
        </w:rPr>
        <w:t xml:space="preserve"> </w:t>
      </w:r>
      <w:r w:rsidR="006E3949">
        <w:rPr>
          <w:rFonts w:ascii="Times New Roman" w:hAnsi="Times New Roman" w:cs="Times New Roman"/>
          <w:i/>
          <w:sz w:val="20"/>
          <w:szCs w:val="20"/>
        </w:rPr>
        <w:t>I</w:t>
      </w:r>
      <w:r w:rsidRPr="00BA66ED">
        <w:rPr>
          <w:rFonts w:ascii="Times New Roman" w:hAnsi="Times New Roman" w:cs="Times New Roman"/>
          <w:i/>
          <w:sz w:val="20"/>
          <w:szCs w:val="20"/>
        </w:rPr>
        <w:t>d.</w:t>
      </w:r>
    </w:p>
  </w:footnote>
  <w:footnote w:id="16">
    <w:p w14:paraId="32B2021F" w14:textId="77777777" w:rsidR="009413C6" w:rsidRDefault="009413C6">
      <w:pPr>
        <w:pStyle w:val="FootnoteText"/>
      </w:pPr>
      <w:r>
        <w:rPr>
          <w:rStyle w:val="FootnoteReference"/>
        </w:rPr>
        <w:footnoteRef/>
      </w:r>
      <w:r>
        <w:t xml:space="preserve"> </w:t>
      </w:r>
      <w:r w:rsidR="006E3949">
        <w:rPr>
          <w:i/>
        </w:rPr>
        <w:t>I</w:t>
      </w:r>
      <w:r w:rsidRPr="00A91EC8">
        <w:rPr>
          <w:i/>
        </w:rPr>
        <w:t>d</w:t>
      </w:r>
      <w:r>
        <w:t xml:space="preserve">. </w:t>
      </w:r>
    </w:p>
  </w:footnote>
  <w:footnote w:id="17">
    <w:p w14:paraId="72083BF2" w14:textId="77777777" w:rsidR="009413C6" w:rsidRDefault="009413C6">
      <w:pPr>
        <w:pStyle w:val="FootnoteText"/>
      </w:pPr>
      <w:r>
        <w:rPr>
          <w:rStyle w:val="FootnoteReference"/>
        </w:rPr>
        <w:footnoteRef/>
      </w:r>
      <w:r>
        <w:t xml:space="preserve"> Human rights committee, General comment no. 35, 16</w:t>
      </w:r>
      <w:r w:rsidRPr="00287662">
        <w:rPr>
          <w:vertAlign w:val="superscript"/>
        </w:rPr>
        <w:t>th</w:t>
      </w:r>
      <w:r>
        <w:t xml:space="preserve"> December, 2014 available at : </w:t>
      </w:r>
      <w:r w:rsidRPr="006E3949">
        <w:t>http://www.ohchr.org</w:t>
      </w:r>
      <w:r>
        <w:t xml:space="preserve"> </w:t>
      </w:r>
    </w:p>
  </w:footnote>
  <w:footnote w:id="18">
    <w:p w14:paraId="40F0A734" w14:textId="77777777" w:rsidR="009413C6" w:rsidRPr="006E1290" w:rsidRDefault="009413C6" w:rsidP="00375A80">
      <w:pPr>
        <w:pStyle w:val="FootnoteText"/>
      </w:pPr>
      <w:r>
        <w:rPr>
          <w:rStyle w:val="FootnoteReference"/>
        </w:rPr>
        <w:footnoteRef/>
      </w:r>
      <w:r>
        <w:t xml:space="preserve"> Proviso (b) to S. 167(2).</w:t>
      </w:r>
    </w:p>
  </w:footnote>
  <w:footnote w:id="19">
    <w:p w14:paraId="6B4B4C21" w14:textId="77777777" w:rsidR="009413C6" w:rsidRPr="006E1290" w:rsidRDefault="009413C6" w:rsidP="00375A80">
      <w:pPr>
        <w:pStyle w:val="FootnoteText"/>
      </w:pPr>
      <w:r>
        <w:rPr>
          <w:rStyle w:val="FootnoteReference"/>
        </w:rPr>
        <w:footnoteRef/>
      </w:r>
      <w:r>
        <w:t xml:space="preserve"> </w:t>
      </w:r>
      <w:r w:rsidRPr="00972BBD">
        <w:rPr>
          <w:i/>
        </w:rPr>
        <w:t>Bal Krishna vs. Emperor</w:t>
      </w:r>
      <w:r>
        <w:t>, (1932) 33 Cri LJ 180.</w:t>
      </w:r>
      <w:r w:rsidR="00972BBD">
        <w:t xml:space="preserve"> </w:t>
      </w:r>
    </w:p>
  </w:footnote>
  <w:footnote w:id="20">
    <w:p w14:paraId="42B490D0" w14:textId="77777777" w:rsidR="009413C6" w:rsidRPr="006E1290" w:rsidRDefault="009413C6" w:rsidP="00375A80">
      <w:pPr>
        <w:pStyle w:val="FootnoteText"/>
      </w:pPr>
      <w:r>
        <w:rPr>
          <w:rStyle w:val="FootnoteReference"/>
        </w:rPr>
        <w:footnoteRef/>
      </w:r>
      <w:r>
        <w:t xml:space="preserve"> (2013) 1 SCC 314.</w:t>
      </w:r>
    </w:p>
  </w:footnote>
  <w:footnote w:id="21">
    <w:p w14:paraId="24245B19" w14:textId="77777777" w:rsidR="009413C6" w:rsidRDefault="009413C6">
      <w:pPr>
        <w:pStyle w:val="FootnoteText"/>
      </w:pPr>
      <w:r>
        <w:rPr>
          <w:rStyle w:val="FootnoteReference"/>
        </w:rPr>
        <w:footnoteRef/>
      </w:r>
      <w:r>
        <w:t xml:space="preserve"> </w:t>
      </w:r>
      <w:r w:rsidRPr="00DA3378">
        <w:rPr>
          <w:i/>
        </w:rPr>
        <w:t xml:space="preserve">G.K. </w:t>
      </w:r>
      <w:proofErr w:type="spellStart"/>
      <w:r w:rsidRPr="00DA3378">
        <w:rPr>
          <w:i/>
        </w:rPr>
        <w:t>Moopanar</w:t>
      </w:r>
      <w:proofErr w:type="spellEnd"/>
      <w:r w:rsidRPr="00DA3378">
        <w:rPr>
          <w:i/>
        </w:rPr>
        <w:t xml:space="preserve"> v. State</w:t>
      </w:r>
      <w:r w:rsidR="00DA3378">
        <w:t>, 1990 Mad</w:t>
      </w:r>
      <w:r>
        <w:t xml:space="preserve"> LW (</w:t>
      </w:r>
      <w:proofErr w:type="spellStart"/>
      <w:r>
        <w:t>Crl</w:t>
      </w:r>
      <w:proofErr w:type="spellEnd"/>
      <w:r>
        <w:t xml:space="preserve">) 113 (DB). </w:t>
      </w:r>
    </w:p>
  </w:footnote>
  <w:footnote w:id="22">
    <w:p w14:paraId="21C79843" w14:textId="77777777" w:rsidR="009413C6" w:rsidRDefault="009413C6" w:rsidP="00801C44">
      <w:pPr>
        <w:pStyle w:val="FootnoteText"/>
      </w:pPr>
      <w:r>
        <w:rPr>
          <w:rStyle w:val="FootnoteReference"/>
        </w:rPr>
        <w:footnoteRef/>
      </w:r>
      <w:r>
        <w:t xml:space="preserve"> (2000) 1 SCC 722, para 12.  </w:t>
      </w:r>
    </w:p>
  </w:footnote>
  <w:footnote w:id="23">
    <w:p w14:paraId="01291571" w14:textId="77777777" w:rsidR="009413C6" w:rsidRPr="000B498C" w:rsidRDefault="009413C6" w:rsidP="00375A80">
      <w:pPr>
        <w:pStyle w:val="FootnoteText"/>
      </w:pPr>
      <w:r>
        <w:rPr>
          <w:rStyle w:val="FootnoteReference"/>
        </w:rPr>
        <w:footnoteRef/>
      </w:r>
      <w:r>
        <w:t xml:space="preserve"> </w:t>
      </w:r>
      <w:r w:rsidRPr="000B498C">
        <w:rPr>
          <w:rFonts w:cs="Times New Roman"/>
          <w:lang w:bidi="hi-IN"/>
        </w:rPr>
        <w:t>(2014) 8 SCC 273</w:t>
      </w:r>
      <w:r>
        <w:rPr>
          <w:rFonts w:cs="Times New Roman"/>
          <w:lang w:bidi="hi-IN"/>
        </w:rPr>
        <w:t>.</w:t>
      </w:r>
    </w:p>
  </w:footnote>
  <w:footnote w:id="24">
    <w:p w14:paraId="20282E06" w14:textId="77777777" w:rsidR="009413C6" w:rsidRDefault="009413C6">
      <w:pPr>
        <w:pStyle w:val="FootnoteText"/>
      </w:pPr>
      <w:r>
        <w:rPr>
          <w:rStyle w:val="FootnoteReference"/>
        </w:rPr>
        <w:footnoteRef/>
      </w:r>
      <w:r>
        <w:t xml:space="preserve"> </w:t>
      </w:r>
      <w:proofErr w:type="spellStart"/>
      <w:r w:rsidRPr="00DA3378">
        <w:rPr>
          <w:i/>
        </w:rPr>
        <w:t>Sanual</w:t>
      </w:r>
      <w:proofErr w:type="spellEnd"/>
      <w:r w:rsidRPr="00DA3378">
        <w:rPr>
          <w:i/>
        </w:rPr>
        <w:t xml:space="preserve"> </w:t>
      </w:r>
      <w:proofErr w:type="spellStart"/>
      <w:r w:rsidRPr="00DA3378">
        <w:rPr>
          <w:i/>
        </w:rPr>
        <w:t>Haquev</w:t>
      </w:r>
      <w:proofErr w:type="spellEnd"/>
      <w:r w:rsidRPr="00DA3378">
        <w:rPr>
          <w:i/>
        </w:rPr>
        <w:t>. State of U.P.</w:t>
      </w:r>
      <w:r>
        <w:t xml:space="preserve">, 2008 </w:t>
      </w:r>
      <w:proofErr w:type="spellStart"/>
      <w:r>
        <w:t>CrLJ</w:t>
      </w:r>
      <w:proofErr w:type="spellEnd"/>
      <w:r>
        <w:t xml:space="preserve"> 1998 (2002) All</w:t>
      </w:r>
    </w:p>
  </w:footnote>
  <w:footnote w:id="25">
    <w:p w14:paraId="407A68D5" w14:textId="77777777" w:rsidR="008216E8" w:rsidRDefault="008216E8">
      <w:pPr>
        <w:pStyle w:val="FootnoteText"/>
      </w:pPr>
      <w:r>
        <w:rPr>
          <w:rStyle w:val="FootnoteReference"/>
        </w:rPr>
        <w:footnoteRef/>
      </w:r>
      <w:r>
        <w:t xml:space="preserve"> </w:t>
      </w:r>
      <w:r w:rsidRPr="008216E8">
        <w:t>http://lawmin.nic.in</w:t>
      </w:r>
      <w:r>
        <w:t xml:space="preserve"> </w:t>
      </w:r>
    </w:p>
  </w:footnote>
  <w:footnote w:id="26">
    <w:p w14:paraId="331491C1" w14:textId="77777777" w:rsidR="006C3278" w:rsidRDefault="006C3278">
      <w:pPr>
        <w:pStyle w:val="FootnoteText"/>
      </w:pPr>
      <w:r>
        <w:rPr>
          <w:rStyle w:val="FootnoteReference"/>
        </w:rPr>
        <w:footnoteRef/>
      </w:r>
      <w:r>
        <w:t xml:space="preserve"> </w:t>
      </w:r>
      <w:r w:rsidRPr="003327B8">
        <w:rPr>
          <w:rFonts w:ascii="Times New Roman" w:hAnsi="Times New Roman" w:cs="Times New Roman"/>
        </w:rPr>
        <w:t>AIR 1997 SC 610</w:t>
      </w:r>
    </w:p>
  </w:footnote>
  <w:footnote w:id="27">
    <w:p w14:paraId="37285728" w14:textId="77777777" w:rsidR="009413C6" w:rsidRDefault="009413C6" w:rsidP="007A5F9F">
      <w:pPr>
        <w:pStyle w:val="FootnoteText"/>
      </w:pPr>
      <w:r>
        <w:rPr>
          <w:rStyle w:val="FootnoteReference"/>
        </w:rPr>
        <w:footnoteRef/>
      </w:r>
      <w:r>
        <w:t xml:space="preserve"> Human rights committee, General comment no. 35, adopted 16</w:t>
      </w:r>
      <w:r w:rsidRPr="00287662">
        <w:rPr>
          <w:vertAlign w:val="superscript"/>
        </w:rPr>
        <w:t>th</w:t>
      </w:r>
      <w:r>
        <w:t xml:space="preserve"> December, 2014 </w:t>
      </w:r>
    </w:p>
  </w:footnote>
  <w:footnote w:id="28">
    <w:p w14:paraId="21A45C4B" w14:textId="77777777" w:rsidR="009413C6" w:rsidRDefault="009413C6" w:rsidP="007A5F9F">
      <w:pPr>
        <w:pStyle w:val="FootnoteText"/>
      </w:pPr>
      <w:r>
        <w:rPr>
          <w:rStyle w:val="FootnoteReference"/>
        </w:rPr>
        <w:footnoteRef/>
      </w:r>
      <w:r>
        <w:t xml:space="preserve"> </w:t>
      </w:r>
      <w:r w:rsidRPr="00DA3378">
        <w:rPr>
          <w:i/>
        </w:rPr>
        <w:t>Id</w:t>
      </w:r>
      <w:r>
        <w:t xml:space="preserve">. </w:t>
      </w:r>
    </w:p>
  </w:footnote>
  <w:footnote w:id="29">
    <w:p w14:paraId="39757D04" w14:textId="77777777" w:rsidR="009413C6" w:rsidRDefault="009413C6" w:rsidP="007A5F9F">
      <w:pPr>
        <w:pStyle w:val="FootnoteText"/>
      </w:pPr>
      <w:r>
        <w:rPr>
          <w:rStyle w:val="FootnoteReference"/>
        </w:rPr>
        <w:footnoteRef/>
      </w:r>
      <w:r>
        <w:t xml:space="preserve"> Human rights committee, General comment no. 21 on article 10, adopted on 10</w:t>
      </w:r>
      <w:r w:rsidRPr="008C6426">
        <w:rPr>
          <w:vertAlign w:val="superscript"/>
        </w:rPr>
        <w:t>th</w:t>
      </w:r>
      <w:r>
        <w:t xml:space="preserve"> April, 1992, available at :  </w:t>
      </w:r>
      <w:r w:rsidRPr="00DA3378">
        <w:t>http://www.ohchr.org</w:t>
      </w:r>
      <w:r>
        <w:t xml:space="preserve"> </w:t>
      </w:r>
    </w:p>
  </w:footnote>
  <w:footnote w:id="30">
    <w:p w14:paraId="6B49DF23" w14:textId="77777777" w:rsidR="009413C6" w:rsidRDefault="009413C6" w:rsidP="007A5F9F">
      <w:pPr>
        <w:pStyle w:val="FootnoteText"/>
      </w:pPr>
      <w:r w:rsidRPr="009413C6">
        <w:rPr>
          <w:rStyle w:val="FootnoteReference"/>
        </w:rPr>
        <w:footnoteRef/>
      </w:r>
      <w:r>
        <w:t xml:space="preserve">  </w:t>
      </w:r>
      <w:r w:rsidRPr="00DA3378">
        <w:t>http://www.ohchr.org</w:t>
      </w:r>
      <w:r>
        <w:t xml:space="preserve"> </w:t>
      </w:r>
    </w:p>
  </w:footnote>
  <w:footnote w:id="31">
    <w:p w14:paraId="0C023602" w14:textId="77777777" w:rsidR="009413C6" w:rsidRDefault="009413C6" w:rsidP="007A5F9F">
      <w:pPr>
        <w:pStyle w:val="FootnoteText"/>
      </w:pPr>
      <w:r>
        <w:rPr>
          <w:rStyle w:val="FootnoteReference"/>
        </w:rPr>
        <w:footnoteRef/>
      </w:r>
      <w:r>
        <w:t xml:space="preserve"> (1995(4) SCC 262) </w:t>
      </w:r>
    </w:p>
  </w:footnote>
  <w:footnote w:id="32">
    <w:p w14:paraId="4BDE9A9B" w14:textId="77777777" w:rsidR="009413C6" w:rsidRDefault="009413C6" w:rsidP="007A5F9F">
      <w:pPr>
        <w:pStyle w:val="FootnoteText"/>
      </w:pPr>
      <w:r>
        <w:rPr>
          <w:rStyle w:val="FootnoteReference"/>
        </w:rPr>
        <w:footnoteRef/>
      </w:r>
      <w:r w:rsidRPr="00BB735C">
        <w:rPr>
          <w:rFonts w:ascii="Times New Roman" w:hAnsi="Times New Roman" w:cs="Times New Roman"/>
        </w:rPr>
        <w:t>AIR 1997 SC 610</w:t>
      </w:r>
      <w:r>
        <w:rPr>
          <w:rFonts w:ascii="Times New Roman" w:hAnsi="Times New Roman" w:cs="Times New Roman"/>
          <w:b/>
          <w:sz w:val="24"/>
          <w:szCs w:val="24"/>
        </w:rPr>
        <w:t xml:space="preserve"> </w:t>
      </w:r>
      <w:r>
        <w:t xml:space="preserve"> </w:t>
      </w:r>
    </w:p>
  </w:footnote>
  <w:footnote w:id="33">
    <w:p w14:paraId="35DE08C5" w14:textId="77777777" w:rsidR="009413C6" w:rsidRDefault="009413C6">
      <w:pPr>
        <w:pStyle w:val="FootnoteText"/>
      </w:pPr>
      <w:r>
        <w:rPr>
          <w:rStyle w:val="FootnoteReference"/>
        </w:rPr>
        <w:footnoteRef/>
      </w:r>
      <w:r>
        <w:t xml:space="preserve"> Bal Krishna, AIR 1931 L 99; Jai Singh, AIR 1932 O 11 </w:t>
      </w:r>
    </w:p>
  </w:footnote>
  <w:footnote w:id="34">
    <w:p w14:paraId="22034CF4" w14:textId="77777777" w:rsidR="009413C6" w:rsidRPr="00654C84" w:rsidRDefault="009413C6" w:rsidP="00654C84">
      <w:pPr>
        <w:spacing w:after="0"/>
        <w:rPr>
          <w:rFonts w:ascii="Times New Roman" w:hAnsi="Times New Roman" w:cs="Times New Roman"/>
          <w:sz w:val="20"/>
          <w:szCs w:val="20"/>
        </w:rPr>
      </w:pPr>
      <w:r w:rsidRPr="00654C84">
        <w:rPr>
          <w:rStyle w:val="FootnoteReference"/>
          <w:rFonts w:ascii="Times New Roman" w:hAnsi="Times New Roman" w:cs="Times New Roman"/>
          <w:sz w:val="20"/>
          <w:szCs w:val="20"/>
        </w:rPr>
        <w:footnoteRef/>
      </w:r>
      <w:r w:rsidRPr="00654C84">
        <w:rPr>
          <w:rFonts w:ascii="Times New Roman" w:hAnsi="Times New Roman" w:cs="Times New Roman"/>
          <w:sz w:val="20"/>
          <w:szCs w:val="20"/>
        </w:rPr>
        <w:t>App no 1936/63 (A/8), [1968] ECHR 1, IHRL 2 (ECHR 1968)</w:t>
      </w:r>
    </w:p>
  </w:footnote>
  <w:footnote w:id="35">
    <w:p w14:paraId="73ABE8E1" w14:textId="77777777" w:rsidR="009413C6" w:rsidRPr="00DA3378" w:rsidRDefault="009413C6">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AIR 1949 Cal 143 </w:t>
      </w:r>
    </w:p>
  </w:footnote>
  <w:footnote w:id="36">
    <w:p w14:paraId="25120171" w14:textId="77777777" w:rsidR="009413C6" w:rsidRPr="00DA3378" w:rsidRDefault="009413C6">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w:t>
      </w:r>
      <w:r w:rsidRPr="00DA3378">
        <w:rPr>
          <w:rFonts w:ascii="Times New Roman" w:hAnsi="Times New Roman" w:cs="Times New Roman"/>
          <w:i/>
        </w:rPr>
        <w:t>State v. Abdul Kareem Tyagi</w:t>
      </w:r>
      <w:r w:rsidRPr="00DA3378">
        <w:rPr>
          <w:rFonts w:ascii="Times New Roman" w:hAnsi="Times New Roman" w:cs="Times New Roman"/>
        </w:rPr>
        <w:t xml:space="preserve">, 2004 (3) Crimes 90 (98) (Kant) </w:t>
      </w:r>
    </w:p>
  </w:footnote>
  <w:footnote w:id="37">
    <w:p w14:paraId="3ECE0FB6" w14:textId="77777777" w:rsidR="009413C6" w:rsidRPr="00DA3378" w:rsidRDefault="009413C6">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Henry Campbell Black, M.A. (Sixth </w:t>
      </w:r>
      <w:proofErr w:type="spellStart"/>
      <w:r w:rsidRPr="00DA3378">
        <w:rPr>
          <w:rFonts w:ascii="Times New Roman" w:hAnsi="Times New Roman" w:cs="Times New Roman"/>
        </w:rPr>
        <w:t>Edn</w:t>
      </w:r>
      <w:proofErr w:type="spellEnd"/>
      <w:r w:rsidRPr="00DA3378">
        <w:rPr>
          <w:rFonts w:ascii="Times New Roman" w:hAnsi="Times New Roman" w:cs="Times New Roman"/>
        </w:rPr>
        <w:t xml:space="preserve">.). </w:t>
      </w:r>
    </w:p>
  </w:footnote>
  <w:footnote w:id="38">
    <w:p w14:paraId="023D93C9" w14:textId="77777777" w:rsidR="009413C6" w:rsidRPr="00DA3378" w:rsidRDefault="009413C6" w:rsidP="00D01EA5">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w:t>
      </w:r>
      <w:r w:rsidRPr="00DA3378">
        <w:rPr>
          <w:rFonts w:ascii="Times New Roman" w:hAnsi="Times New Roman" w:cs="Times New Roman"/>
          <w:color w:val="000000" w:themeColor="text1"/>
        </w:rPr>
        <w:t>1992) 3 SCC 141: 1992 (Cri) 554.</w:t>
      </w:r>
    </w:p>
  </w:footnote>
  <w:footnote w:id="39">
    <w:p w14:paraId="0F5B3142" w14:textId="77777777" w:rsidR="009413C6" w:rsidRPr="00DA3378" w:rsidRDefault="009413C6" w:rsidP="00D01EA5">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w:t>
      </w:r>
      <w:r w:rsidRPr="00DA3378">
        <w:rPr>
          <w:rFonts w:ascii="Times New Roman" w:hAnsi="Times New Roman" w:cs="Times New Roman"/>
          <w:color w:val="000000"/>
          <w:shd w:val="clear" w:color="auto" w:fill="FFFFFF"/>
        </w:rPr>
        <w:t>(2000) 9 SCC 266.</w:t>
      </w:r>
    </w:p>
  </w:footnote>
  <w:footnote w:id="40">
    <w:p w14:paraId="387D5D0A" w14:textId="77777777" w:rsidR="009413C6" w:rsidRPr="00DA3378" w:rsidRDefault="009413C6" w:rsidP="00CD4C86">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AIR 1983 SC 439.</w:t>
      </w:r>
    </w:p>
  </w:footnote>
  <w:footnote w:id="41">
    <w:p w14:paraId="3C670B9F" w14:textId="77777777" w:rsidR="009413C6" w:rsidRPr="00DA3378" w:rsidRDefault="009413C6" w:rsidP="00CD4C86">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(1980) 2 SCC 406.</w:t>
      </w:r>
    </w:p>
  </w:footnote>
  <w:footnote w:id="42">
    <w:p w14:paraId="58359512" w14:textId="77777777" w:rsidR="009413C6" w:rsidRPr="00DA3378" w:rsidRDefault="009413C6" w:rsidP="00CD4C86">
      <w:pPr>
        <w:pStyle w:val="FootnoteText"/>
        <w:rPr>
          <w:rFonts w:ascii="Times New Roman" w:hAnsi="Times New Roman" w:cs="Times New Roman"/>
        </w:rPr>
      </w:pPr>
      <w:r w:rsidRPr="00DA3378">
        <w:rPr>
          <w:rStyle w:val="FootnoteReference"/>
          <w:rFonts w:ascii="Times New Roman" w:hAnsi="Times New Roman" w:cs="Times New Roman"/>
        </w:rPr>
        <w:footnoteRef/>
      </w:r>
      <w:r w:rsidRPr="00DA3378">
        <w:rPr>
          <w:rFonts w:ascii="Times New Roman" w:hAnsi="Times New Roman" w:cs="Times New Roman"/>
        </w:rPr>
        <w:t xml:space="preserve"> AIR 2001 SC 1010.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1728" w14:textId="77777777" w:rsidR="007F3B63" w:rsidRDefault="007F3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34AF" w14:textId="77777777" w:rsidR="007F3B63" w:rsidRDefault="007F3B63">
    <w:pPr>
      <w:pStyle w:val="Header"/>
    </w:pPr>
    <w:bookmarkStart w:id="0" w:name="_Hlk126877592"/>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F4E4" w14:textId="77777777" w:rsidR="007F3B63" w:rsidRDefault="007F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E69"/>
    <w:multiLevelType w:val="hybridMultilevel"/>
    <w:tmpl w:val="09520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0773E3"/>
    <w:multiLevelType w:val="multilevel"/>
    <w:tmpl w:val="21E6DB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8A08DB"/>
    <w:multiLevelType w:val="hybridMultilevel"/>
    <w:tmpl w:val="B394AC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DE5751"/>
    <w:multiLevelType w:val="hybridMultilevel"/>
    <w:tmpl w:val="F942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84656"/>
    <w:multiLevelType w:val="hybridMultilevel"/>
    <w:tmpl w:val="2328F7F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40524E"/>
    <w:multiLevelType w:val="hybridMultilevel"/>
    <w:tmpl w:val="CB46E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8609A"/>
    <w:multiLevelType w:val="hybridMultilevel"/>
    <w:tmpl w:val="59A43B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F5E3D"/>
    <w:multiLevelType w:val="hybridMultilevel"/>
    <w:tmpl w:val="1BA6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410FD"/>
    <w:multiLevelType w:val="hybridMultilevel"/>
    <w:tmpl w:val="FA98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E1FD4"/>
    <w:multiLevelType w:val="hybridMultilevel"/>
    <w:tmpl w:val="D38AE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743E"/>
    <w:multiLevelType w:val="hybridMultilevel"/>
    <w:tmpl w:val="86F86BC6"/>
    <w:lvl w:ilvl="0" w:tplc="C04CDB1E">
      <w:numFmt w:val="bullet"/>
      <w:lvlText w:val="-"/>
      <w:lvlJc w:val="left"/>
      <w:pPr>
        <w:ind w:left="7860" w:hanging="360"/>
      </w:pPr>
      <w:rPr>
        <w:rFonts w:ascii="Times New Roman" w:eastAsiaTheme="minorHAnsi" w:hAnsi="Times New Roman" w:cs="Times New Roman" w:hint="default"/>
      </w:rPr>
    </w:lvl>
    <w:lvl w:ilvl="1" w:tplc="40090003" w:tentative="1">
      <w:start w:val="1"/>
      <w:numFmt w:val="bullet"/>
      <w:lvlText w:val="o"/>
      <w:lvlJc w:val="left"/>
      <w:pPr>
        <w:ind w:left="8580" w:hanging="360"/>
      </w:pPr>
      <w:rPr>
        <w:rFonts w:ascii="Courier New" w:hAnsi="Courier New" w:cs="Courier New" w:hint="default"/>
      </w:rPr>
    </w:lvl>
    <w:lvl w:ilvl="2" w:tplc="40090005" w:tentative="1">
      <w:start w:val="1"/>
      <w:numFmt w:val="bullet"/>
      <w:lvlText w:val=""/>
      <w:lvlJc w:val="left"/>
      <w:pPr>
        <w:ind w:left="9300" w:hanging="360"/>
      </w:pPr>
      <w:rPr>
        <w:rFonts w:ascii="Wingdings" w:hAnsi="Wingdings" w:hint="default"/>
      </w:rPr>
    </w:lvl>
    <w:lvl w:ilvl="3" w:tplc="40090001" w:tentative="1">
      <w:start w:val="1"/>
      <w:numFmt w:val="bullet"/>
      <w:lvlText w:val=""/>
      <w:lvlJc w:val="left"/>
      <w:pPr>
        <w:ind w:left="10020" w:hanging="360"/>
      </w:pPr>
      <w:rPr>
        <w:rFonts w:ascii="Symbol" w:hAnsi="Symbol" w:hint="default"/>
      </w:rPr>
    </w:lvl>
    <w:lvl w:ilvl="4" w:tplc="40090003" w:tentative="1">
      <w:start w:val="1"/>
      <w:numFmt w:val="bullet"/>
      <w:lvlText w:val="o"/>
      <w:lvlJc w:val="left"/>
      <w:pPr>
        <w:ind w:left="10740" w:hanging="360"/>
      </w:pPr>
      <w:rPr>
        <w:rFonts w:ascii="Courier New" w:hAnsi="Courier New" w:cs="Courier New" w:hint="default"/>
      </w:rPr>
    </w:lvl>
    <w:lvl w:ilvl="5" w:tplc="40090005" w:tentative="1">
      <w:start w:val="1"/>
      <w:numFmt w:val="bullet"/>
      <w:lvlText w:val=""/>
      <w:lvlJc w:val="left"/>
      <w:pPr>
        <w:ind w:left="11460" w:hanging="360"/>
      </w:pPr>
      <w:rPr>
        <w:rFonts w:ascii="Wingdings" w:hAnsi="Wingdings" w:hint="default"/>
      </w:rPr>
    </w:lvl>
    <w:lvl w:ilvl="6" w:tplc="40090001" w:tentative="1">
      <w:start w:val="1"/>
      <w:numFmt w:val="bullet"/>
      <w:lvlText w:val=""/>
      <w:lvlJc w:val="left"/>
      <w:pPr>
        <w:ind w:left="12180" w:hanging="360"/>
      </w:pPr>
      <w:rPr>
        <w:rFonts w:ascii="Symbol" w:hAnsi="Symbol" w:hint="default"/>
      </w:rPr>
    </w:lvl>
    <w:lvl w:ilvl="7" w:tplc="40090003" w:tentative="1">
      <w:start w:val="1"/>
      <w:numFmt w:val="bullet"/>
      <w:lvlText w:val="o"/>
      <w:lvlJc w:val="left"/>
      <w:pPr>
        <w:ind w:left="12900" w:hanging="360"/>
      </w:pPr>
      <w:rPr>
        <w:rFonts w:ascii="Courier New" w:hAnsi="Courier New" w:cs="Courier New" w:hint="default"/>
      </w:rPr>
    </w:lvl>
    <w:lvl w:ilvl="8" w:tplc="40090005" w:tentative="1">
      <w:start w:val="1"/>
      <w:numFmt w:val="bullet"/>
      <w:lvlText w:val=""/>
      <w:lvlJc w:val="left"/>
      <w:pPr>
        <w:ind w:left="13620" w:hanging="360"/>
      </w:pPr>
      <w:rPr>
        <w:rFonts w:ascii="Wingdings" w:hAnsi="Wingdings" w:hint="default"/>
      </w:rPr>
    </w:lvl>
  </w:abstractNum>
  <w:num w:numId="1" w16cid:durableId="253826071">
    <w:abstractNumId w:val="2"/>
  </w:num>
  <w:num w:numId="2" w16cid:durableId="1841504860">
    <w:abstractNumId w:val="4"/>
  </w:num>
  <w:num w:numId="3" w16cid:durableId="1566838399">
    <w:abstractNumId w:val="9"/>
  </w:num>
  <w:num w:numId="4" w16cid:durableId="66542787">
    <w:abstractNumId w:val="6"/>
  </w:num>
  <w:num w:numId="5" w16cid:durableId="1453553409">
    <w:abstractNumId w:val="7"/>
  </w:num>
  <w:num w:numId="6" w16cid:durableId="1870022966">
    <w:abstractNumId w:val="8"/>
  </w:num>
  <w:num w:numId="7" w16cid:durableId="526875767">
    <w:abstractNumId w:val="0"/>
  </w:num>
  <w:num w:numId="8" w16cid:durableId="1637368281">
    <w:abstractNumId w:val="3"/>
  </w:num>
  <w:num w:numId="9" w16cid:durableId="5525411">
    <w:abstractNumId w:val="5"/>
  </w:num>
  <w:num w:numId="10" w16cid:durableId="2063407729">
    <w:abstractNumId w:val="1"/>
  </w:num>
  <w:num w:numId="11" w16cid:durableId="676885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2991"/>
    <w:rsid w:val="00012878"/>
    <w:rsid w:val="000353E6"/>
    <w:rsid w:val="00035BEE"/>
    <w:rsid w:val="00051981"/>
    <w:rsid w:val="0005484D"/>
    <w:rsid w:val="00072E85"/>
    <w:rsid w:val="000803B1"/>
    <w:rsid w:val="000824A7"/>
    <w:rsid w:val="000B78E5"/>
    <w:rsid w:val="000D549C"/>
    <w:rsid w:val="000F0224"/>
    <w:rsid w:val="000F443C"/>
    <w:rsid w:val="001419EB"/>
    <w:rsid w:val="00145414"/>
    <w:rsid w:val="00150B3E"/>
    <w:rsid w:val="00153B9B"/>
    <w:rsid w:val="001800CB"/>
    <w:rsid w:val="001C2A0B"/>
    <w:rsid w:val="001C7A84"/>
    <w:rsid w:val="001F6C4D"/>
    <w:rsid w:val="001F7646"/>
    <w:rsid w:val="0024109A"/>
    <w:rsid w:val="00260615"/>
    <w:rsid w:val="00272904"/>
    <w:rsid w:val="00287662"/>
    <w:rsid w:val="002B4BDB"/>
    <w:rsid w:val="003079E8"/>
    <w:rsid w:val="003327B8"/>
    <w:rsid w:val="00342777"/>
    <w:rsid w:val="00375A80"/>
    <w:rsid w:val="003A750C"/>
    <w:rsid w:val="003D29DA"/>
    <w:rsid w:val="003F100B"/>
    <w:rsid w:val="003F2DCA"/>
    <w:rsid w:val="003F5513"/>
    <w:rsid w:val="00445EA5"/>
    <w:rsid w:val="0045179C"/>
    <w:rsid w:val="00455E58"/>
    <w:rsid w:val="004872FA"/>
    <w:rsid w:val="0048792F"/>
    <w:rsid w:val="004A26C2"/>
    <w:rsid w:val="004B2DC7"/>
    <w:rsid w:val="004D1529"/>
    <w:rsid w:val="004F529B"/>
    <w:rsid w:val="005057EE"/>
    <w:rsid w:val="0051602B"/>
    <w:rsid w:val="00541AB5"/>
    <w:rsid w:val="005524B3"/>
    <w:rsid w:val="00553C1B"/>
    <w:rsid w:val="00562532"/>
    <w:rsid w:val="005A331E"/>
    <w:rsid w:val="005B53A2"/>
    <w:rsid w:val="005D0E72"/>
    <w:rsid w:val="005D2991"/>
    <w:rsid w:val="005D3C64"/>
    <w:rsid w:val="005E40A0"/>
    <w:rsid w:val="005F7F33"/>
    <w:rsid w:val="00617EF2"/>
    <w:rsid w:val="00636624"/>
    <w:rsid w:val="00642D26"/>
    <w:rsid w:val="006500D2"/>
    <w:rsid w:val="00654C84"/>
    <w:rsid w:val="00695779"/>
    <w:rsid w:val="006A1CB1"/>
    <w:rsid w:val="006A4449"/>
    <w:rsid w:val="006B74A1"/>
    <w:rsid w:val="006C3278"/>
    <w:rsid w:val="006E3949"/>
    <w:rsid w:val="00704399"/>
    <w:rsid w:val="00710C10"/>
    <w:rsid w:val="00717D2D"/>
    <w:rsid w:val="007336BA"/>
    <w:rsid w:val="007439EB"/>
    <w:rsid w:val="00753B68"/>
    <w:rsid w:val="00757661"/>
    <w:rsid w:val="0076054F"/>
    <w:rsid w:val="0077052A"/>
    <w:rsid w:val="007747B4"/>
    <w:rsid w:val="00774966"/>
    <w:rsid w:val="00774F6E"/>
    <w:rsid w:val="00780EF9"/>
    <w:rsid w:val="00791EE8"/>
    <w:rsid w:val="00793B3E"/>
    <w:rsid w:val="007A01D1"/>
    <w:rsid w:val="007A5F9F"/>
    <w:rsid w:val="007D1BAD"/>
    <w:rsid w:val="007F2D80"/>
    <w:rsid w:val="007F3B63"/>
    <w:rsid w:val="00801C44"/>
    <w:rsid w:val="008216E8"/>
    <w:rsid w:val="0082746E"/>
    <w:rsid w:val="008343A7"/>
    <w:rsid w:val="008815AA"/>
    <w:rsid w:val="008A5961"/>
    <w:rsid w:val="008B4711"/>
    <w:rsid w:val="008C6426"/>
    <w:rsid w:val="00902D2B"/>
    <w:rsid w:val="009358EC"/>
    <w:rsid w:val="009413C6"/>
    <w:rsid w:val="00955A2D"/>
    <w:rsid w:val="00957868"/>
    <w:rsid w:val="0096163A"/>
    <w:rsid w:val="00972BBD"/>
    <w:rsid w:val="00993BD1"/>
    <w:rsid w:val="009962FB"/>
    <w:rsid w:val="0099763D"/>
    <w:rsid w:val="009B78A3"/>
    <w:rsid w:val="009C5F6E"/>
    <w:rsid w:val="009E020B"/>
    <w:rsid w:val="009F5385"/>
    <w:rsid w:val="00A21818"/>
    <w:rsid w:val="00A2373D"/>
    <w:rsid w:val="00A23A06"/>
    <w:rsid w:val="00A3005C"/>
    <w:rsid w:val="00A50DA2"/>
    <w:rsid w:val="00A61C90"/>
    <w:rsid w:val="00A63029"/>
    <w:rsid w:val="00A747FF"/>
    <w:rsid w:val="00A817A5"/>
    <w:rsid w:val="00A84380"/>
    <w:rsid w:val="00A91EC8"/>
    <w:rsid w:val="00A91ECA"/>
    <w:rsid w:val="00AE3114"/>
    <w:rsid w:val="00AF2E84"/>
    <w:rsid w:val="00B25097"/>
    <w:rsid w:val="00B67316"/>
    <w:rsid w:val="00BA66ED"/>
    <w:rsid w:val="00BB735C"/>
    <w:rsid w:val="00BC075A"/>
    <w:rsid w:val="00BD2B63"/>
    <w:rsid w:val="00C03E7E"/>
    <w:rsid w:val="00C14B64"/>
    <w:rsid w:val="00C33C62"/>
    <w:rsid w:val="00C656F6"/>
    <w:rsid w:val="00C73B01"/>
    <w:rsid w:val="00C85552"/>
    <w:rsid w:val="00C90F3A"/>
    <w:rsid w:val="00C95365"/>
    <w:rsid w:val="00CD4C86"/>
    <w:rsid w:val="00CE717F"/>
    <w:rsid w:val="00CF049A"/>
    <w:rsid w:val="00D01EA5"/>
    <w:rsid w:val="00D04712"/>
    <w:rsid w:val="00D069FD"/>
    <w:rsid w:val="00D268C0"/>
    <w:rsid w:val="00D34E87"/>
    <w:rsid w:val="00D45E9A"/>
    <w:rsid w:val="00D767F4"/>
    <w:rsid w:val="00D768F7"/>
    <w:rsid w:val="00D77051"/>
    <w:rsid w:val="00D838F1"/>
    <w:rsid w:val="00D92309"/>
    <w:rsid w:val="00DA3378"/>
    <w:rsid w:val="00DE5113"/>
    <w:rsid w:val="00E03C28"/>
    <w:rsid w:val="00E557BA"/>
    <w:rsid w:val="00E758C6"/>
    <w:rsid w:val="00EB1337"/>
    <w:rsid w:val="00ED353C"/>
    <w:rsid w:val="00ED716D"/>
    <w:rsid w:val="00F155CE"/>
    <w:rsid w:val="00F474EE"/>
    <w:rsid w:val="00F83ECD"/>
    <w:rsid w:val="00FC0F0D"/>
    <w:rsid w:val="00FC2338"/>
    <w:rsid w:val="00FF173A"/>
    <w:rsid w:val="00FF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8AF0"/>
  <w15:docId w15:val="{3BC15CEE-F013-402C-AAEB-6CF117D7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F2"/>
  </w:style>
  <w:style w:type="paragraph" w:styleId="Heading2">
    <w:name w:val="heading 2"/>
    <w:basedOn w:val="Normal"/>
    <w:link w:val="Heading2Char"/>
    <w:uiPriority w:val="9"/>
    <w:qFormat/>
    <w:rsid w:val="00780E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3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B9B"/>
    <w:rPr>
      <w:sz w:val="20"/>
      <w:szCs w:val="20"/>
    </w:rPr>
  </w:style>
  <w:style w:type="character" w:styleId="FootnoteReference">
    <w:name w:val="footnote reference"/>
    <w:basedOn w:val="DefaultParagraphFont"/>
    <w:uiPriority w:val="99"/>
    <w:semiHidden/>
    <w:unhideWhenUsed/>
    <w:rsid w:val="00153B9B"/>
    <w:rPr>
      <w:vertAlign w:val="superscript"/>
    </w:rPr>
  </w:style>
  <w:style w:type="character" w:styleId="Hyperlink">
    <w:name w:val="Hyperlink"/>
    <w:basedOn w:val="DefaultParagraphFont"/>
    <w:uiPriority w:val="99"/>
    <w:unhideWhenUsed/>
    <w:rsid w:val="00A817A5"/>
    <w:rPr>
      <w:color w:val="0000FF" w:themeColor="hyperlink"/>
      <w:u w:val="single"/>
    </w:rPr>
  </w:style>
  <w:style w:type="paragraph" w:styleId="ListParagraph">
    <w:name w:val="List Paragraph"/>
    <w:basedOn w:val="Normal"/>
    <w:uiPriority w:val="34"/>
    <w:qFormat/>
    <w:rsid w:val="0045179C"/>
    <w:pPr>
      <w:ind w:left="720"/>
      <w:contextualSpacing/>
    </w:pPr>
    <w:rPr>
      <w:lang w:val="en-IN"/>
    </w:rPr>
  </w:style>
  <w:style w:type="paragraph" w:styleId="NormalWeb">
    <w:name w:val="Normal (Web)"/>
    <w:basedOn w:val="Normal"/>
    <w:uiPriority w:val="99"/>
    <w:unhideWhenUsed/>
    <w:rsid w:val="007A01D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Header">
    <w:name w:val="header"/>
    <w:basedOn w:val="Normal"/>
    <w:link w:val="HeaderChar"/>
    <w:uiPriority w:val="99"/>
    <w:unhideWhenUsed/>
    <w:rsid w:val="00F15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5CE"/>
  </w:style>
  <w:style w:type="paragraph" w:styleId="Footer">
    <w:name w:val="footer"/>
    <w:basedOn w:val="Normal"/>
    <w:link w:val="FooterChar"/>
    <w:uiPriority w:val="99"/>
    <w:unhideWhenUsed/>
    <w:rsid w:val="00F1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5CE"/>
  </w:style>
  <w:style w:type="character" w:customStyle="1" w:styleId="apple-converted-space">
    <w:name w:val="apple-converted-space"/>
    <w:basedOn w:val="DefaultParagraphFont"/>
    <w:rsid w:val="00D01EA5"/>
  </w:style>
  <w:style w:type="paragraph" w:customStyle="1" w:styleId="Default">
    <w:name w:val="Default"/>
    <w:rsid w:val="00D047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80EF9"/>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7F3B63"/>
    <w:pPr>
      <w:widowControl w:val="0"/>
      <w:autoSpaceDE w:val="0"/>
      <w:autoSpaceDN w:val="0"/>
      <w:spacing w:after="0" w:line="240" w:lineRule="auto"/>
      <w:ind w:left="4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3B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diankanoon.org/doc/2446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18</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Sajal jain</cp:lastModifiedBy>
  <cp:revision>69</cp:revision>
  <cp:lastPrinted>2017-11-26T13:12:00Z</cp:lastPrinted>
  <dcterms:created xsi:type="dcterms:W3CDTF">2017-11-16T10:45:00Z</dcterms:created>
  <dcterms:modified xsi:type="dcterms:W3CDTF">2023-02-24T18:14:00Z</dcterms:modified>
</cp:coreProperties>
</file>